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lang w:val="en-US" w:eastAsia="zh-CN"/>
        </w:rPr>
        <w:t>2023年扎兰屯市儿童</w:t>
      </w:r>
      <w:r>
        <w:rPr>
          <w:rFonts w:hint="eastAsia" w:ascii="宋体" w:hAnsi="宋体" w:eastAsia="宋体" w:cs="宋体"/>
          <w:b/>
          <w:bCs/>
          <w:color w:val="auto"/>
          <w:sz w:val="32"/>
          <w:szCs w:val="32"/>
          <w:highlight w:val="none"/>
          <w:lang w:val="en-US" w:eastAsia="zh-CN"/>
        </w:rPr>
        <w:t>玩具</w:t>
      </w:r>
      <w:r>
        <w:rPr>
          <w:rFonts w:hint="eastAsia" w:ascii="宋体" w:hAnsi="宋体" w:eastAsia="宋体" w:cs="宋体"/>
          <w:b/>
          <w:bCs/>
          <w:color w:val="000000"/>
          <w:sz w:val="32"/>
          <w:szCs w:val="32"/>
          <w:highlight w:val="none"/>
        </w:rPr>
        <w:t>产品质量监督抽查实施细则</w:t>
      </w:r>
    </w:p>
    <w:p>
      <w:pPr>
        <w:adjustRightInd w:val="0"/>
        <w:snapToGrid w:val="0"/>
        <w:spacing w:line="594" w:lineRule="exact"/>
        <w:jc w:val="center"/>
        <w:rPr>
          <w:rFonts w:hint="eastAsia" w:ascii="宋体" w:hAnsi="宋体" w:eastAsia="宋体" w:cs="宋体"/>
          <w:color w:val="000000"/>
          <w:sz w:val="21"/>
          <w:szCs w:val="21"/>
          <w:highlight w:val="none"/>
        </w:rPr>
      </w:pPr>
    </w:p>
    <w:p>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1 抽样方法</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随机数一般可使用随机数表等方法产生。</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eastAsia="zh-CN"/>
        </w:rPr>
        <w:t>每批次产品抽样数量为</w:t>
      </w:r>
      <w:r>
        <w:rPr>
          <w:rFonts w:hint="eastAsia" w:ascii="宋体" w:hAnsi="宋体" w:eastAsia="宋体" w:cs="宋体"/>
          <w:color w:val="000000"/>
          <w:sz w:val="21"/>
          <w:szCs w:val="21"/>
          <w:highlight w:val="none"/>
          <w:lang w:val="en-US" w:eastAsia="zh-CN"/>
        </w:rPr>
        <w:t>3个,其中2个为检验样品，1个为备用样品。</w:t>
      </w:r>
    </w:p>
    <w:p>
      <w:pPr>
        <w:pStyle w:val="14"/>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sz w:val="21"/>
          <w:szCs w:val="21"/>
          <w:lang w:val="en-US" w:eastAsia="zh-CN"/>
        </w:rPr>
      </w:pPr>
    </w:p>
    <w:p>
      <w:pPr>
        <w:keepNext w:val="0"/>
        <w:keepLines w:val="0"/>
        <w:pageBreakBefore w:val="0"/>
        <w:widowControl w:val="0"/>
        <w:shd w:val="clear"/>
        <w:kinsoku/>
        <w:wordWrap/>
        <w:overflowPunct/>
        <w:topLinePunct w:val="0"/>
        <w:autoSpaceDE/>
        <w:autoSpaceDN/>
        <w:bidi w:val="0"/>
        <w:adjustRightInd/>
        <w:snapToGrid w:val="0"/>
        <w:spacing w:line="440" w:lineRule="exac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b/>
          <w:bCs/>
          <w:color w:val="000000"/>
          <w:sz w:val="21"/>
          <w:szCs w:val="21"/>
          <w:highlight w:val="none"/>
        </w:rPr>
        <w:t>2 检验依据</w:t>
      </w:r>
      <w:bookmarkStart w:id="0" w:name="_Hlk40347690"/>
    </w:p>
    <w:p>
      <w:pPr>
        <w:keepNext w:val="0"/>
        <w:keepLines w:val="0"/>
        <w:pageBreakBefore w:val="0"/>
        <w:widowControl w:val="0"/>
        <w:shd w:val="clear"/>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表1</w:t>
      </w:r>
      <w:r>
        <w:rPr>
          <w:rFonts w:hint="eastAsia" w:ascii="宋体" w:hAnsi="宋体" w:eastAsia="宋体" w:cs="宋体"/>
          <w:i w:val="0"/>
          <w:iCs w:val="0"/>
          <w:color w:val="000000"/>
          <w:kern w:val="0"/>
          <w:sz w:val="21"/>
          <w:szCs w:val="21"/>
          <w:u w:val="none"/>
          <w:lang w:val="en-US" w:eastAsia="zh-CN" w:bidi="ar"/>
        </w:rPr>
        <w:t>塑料玩具</w:t>
      </w:r>
      <w:r>
        <w:rPr>
          <w:rFonts w:hint="eastAsia" w:ascii="宋体" w:hAnsi="宋体" w:eastAsia="宋体" w:cs="宋体"/>
          <w:color w:val="auto"/>
          <w:sz w:val="21"/>
          <w:szCs w:val="21"/>
          <w:highlight w:val="none"/>
          <w:lang w:val="en-US" w:eastAsia="zh-CN"/>
        </w:rPr>
        <w:t>检验项目</w:t>
      </w:r>
    </w:p>
    <w:tbl>
      <w:tblPr>
        <w:tblStyle w:val="10"/>
        <w:tblW w:w="91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3150"/>
        <w:gridCol w:w="2487"/>
        <w:gridCol w:w="2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dxa"/>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3150" w:type="dxa"/>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检验项目</w:t>
            </w:r>
          </w:p>
        </w:tc>
        <w:tc>
          <w:tcPr>
            <w:tcW w:w="2487" w:type="dxa"/>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执行标准</w:t>
            </w:r>
          </w:p>
        </w:tc>
        <w:tc>
          <w:tcPr>
            <w:tcW w:w="2516" w:type="dxa"/>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1</w:t>
            </w:r>
          </w:p>
        </w:tc>
        <w:tc>
          <w:tcPr>
            <w:tcW w:w="3150"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eastAsia="zh-CN"/>
              </w:rPr>
            </w:pPr>
            <w:r>
              <w:rPr>
                <w:rFonts w:hint="eastAsia" w:ascii="宋体" w:hAnsi="宋体" w:eastAsia="宋体" w:cs="宋体"/>
                <w:i w:val="0"/>
                <w:iCs w:val="0"/>
                <w:color w:val="000000"/>
                <w:kern w:val="0"/>
                <w:sz w:val="21"/>
                <w:szCs w:val="21"/>
                <w:u w:val="none"/>
                <w:lang w:val="en-US" w:eastAsia="zh-CN" w:bidi="ar"/>
              </w:rPr>
              <w:t>材料</w:t>
            </w:r>
          </w:p>
        </w:tc>
        <w:tc>
          <w:tcPr>
            <w:tcW w:w="2487" w:type="dxa"/>
            <w:vMerge w:val="restart"/>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GB 6675.1-2014</w:t>
            </w:r>
          </w:p>
          <w:p>
            <w:pPr>
              <w:pStyle w:val="2"/>
              <w:ind w:firstLine="420" w:firstLineChars="20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GB 6675.2-2014</w:t>
            </w:r>
          </w:p>
        </w:tc>
        <w:tc>
          <w:tcPr>
            <w:tcW w:w="2516" w:type="dxa"/>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eastAsia="zh-CN"/>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2</w:t>
            </w:r>
          </w:p>
        </w:tc>
        <w:tc>
          <w:tcPr>
            <w:tcW w:w="3150"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eastAsia="zh-CN"/>
              </w:rPr>
            </w:pPr>
            <w:r>
              <w:rPr>
                <w:rFonts w:hint="eastAsia" w:ascii="宋体" w:hAnsi="宋体" w:eastAsia="宋体" w:cs="宋体"/>
                <w:i w:val="0"/>
                <w:iCs w:val="0"/>
                <w:color w:val="000000"/>
                <w:kern w:val="0"/>
                <w:sz w:val="21"/>
                <w:szCs w:val="21"/>
                <w:u w:val="none"/>
                <w:lang w:val="en-US" w:eastAsia="zh-CN" w:bidi="ar"/>
              </w:rPr>
              <w:t>小零件</w:t>
            </w:r>
          </w:p>
        </w:tc>
        <w:tc>
          <w:tcPr>
            <w:tcW w:w="2487" w:type="dxa"/>
            <w:vMerge w:val="continue"/>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p>
        </w:tc>
        <w:tc>
          <w:tcPr>
            <w:tcW w:w="2516" w:type="dxa"/>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eastAsia="zh-CN"/>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3</w:t>
            </w:r>
          </w:p>
        </w:tc>
        <w:tc>
          <w:tcPr>
            <w:tcW w:w="3150"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eastAsia="zh-CN"/>
              </w:rPr>
            </w:pPr>
            <w:r>
              <w:rPr>
                <w:rFonts w:hint="eastAsia" w:ascii="宋体" w:hAnsi="宋体" w:eastAsia="宋体" w:cs="宋体"/>
                <w:i w:val="0"/>
                <w:iCs w:val="0"/>
                <w:color w:val="000000"/>
                <w:kern w:val="0"/>
                <w:sz w:val="21"/>
                <w:szCs w:val="21"/>
                <w:u w:val="none"/>
                <w:lang w:val="en-US" w:eastAsia="zh-CN" w:bidi="ar"/>
              </w:rPr>
              <w:t>边缘</w:t>
            </w:r>
          </w:p>
        </w:tc>
        <w:tc>
          <w:tcPr>
            <w:tcW w:w="2487" w:type="dxa"/>
            <w:vMerge w:val="continue"/>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p>
        </w:tc>
        <w:tc>
          <w:tcPr>
            <w:tcW w:w="2516" w:type="dxa"/>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eastAsia="zh-CN"/>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4</w:t>
            </w:r>
          </w:p>
        </w:tc>
        <w:tc>
          <w:tcPr>
            <w:tcW w:w="3150"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eastAsia="zh-CN"/>
              </w:rPr>
            </w:pPr>
            <w:r>
              <w:rPr>
                <w:rFonts w:hint="eastAsia" w:ascii="宋体" w:hAnsi="宋体" w:eastAsia="宋体" w:cs="宋体"/>
                <w:i w:val="0"/>
                <w:iCs w:val="0"/>
                <w:color w:val="000000"/>
                <w:kern w:val="0"/>
                <w:sz w:val="21"/>
                <w:szCs w:val="21"/>
                <w:u w:val="none"/>
                <w:lang w:val="en-US" w:eastAsia="zh-CN" w:bidi="ar"/>
              </w:rPr>
              <w:t>突出部件</w:t>
            </w:r>
          </w:p>
        </w:tc>
        <w:tc>
          <w:tcPr>
            <w:tcW w:w="2487" w:type="dxa"/>
            <w:vMerge w:val="continue"/>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p>
        </w:tc>
        <w:tc>
          <w:tcPr>
            <w:tcW w:w="2516" w:type="dxa"/>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eastAsia="zh-CN"/>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5</w:t>
            </w:r>
          </w:p>
        </w:tc>
        <w:tc>
          <w:tcPr>
            <w:tcW w:w="3150"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eastAsia="zh-CN"/>
              </w:rPr>
            </w:pPr>
            <w:r>
              <w:rPr>
                <w:rFonts w:hint="eastAsia" w:ascii="宋体" w:hAnsi="宋体" w:eastAsia="宋体" w:cs="宋体"/>
                <w:i w:val="0"/>
                <w:iCs w:val="0"/>
                <w:color w:val="000000"/>
                <w:kern w:val="0"/>
                <w:sz w:val="21"/>
                <w:szCs w:val="21"/>
                <w:u w:val="none"/>
                <w:lang w:val="en-US" w:eastAsia="zh-CN" w:bidi="ar"/>
              </w:rPr>
              <w:t>孔、间隙、机械装置的可触及性</w:t>
            </w:r>
          </w:p>
        </w:tc>
        <w:tc>
          <w:tcPr>
            <w:tcW w:w="2487" w:type="dxa"/>
            <w:vMerge w:val="continue"/>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p>
        </w:tc>
        <w:tc>
          <w:tcPr>
            <w:tcW w:w="2516" w:type="dxa"/>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eastAsia="zh-CN"/>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6</w:t>
            </w:r>
          </w:p>
        </w:tc>
        <w:tc>
          <w:tcPr>
            <w:tcW w:w="3150"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eastAsia="zh-CN"/>
              </w:rPr>
            </w:pPr>
            <w:r>
              <w:rPr>
                <w:rFonts w:hint="eastAsia" w:ascii="宋体" w:hAnsi="宋体" w:eastAsia="宋体" w:cs="宋体"/>
                <w:i w:val="0"/>
                <w:iCs w:val="0"/>
                <w:color w:val="000000"/>
                <w:kern w:val="0"/>
                <w:sz w:val="21"/>
                <w:szCs w:val="21"/>
                <w:u w:val="none"/>
                <w:lang w:val="en-US" w:eastAsia="zh-CN" w:bidi="ar"/>
              </w:rPr>
              <w:t>尖端</w:t>
            </w:r>
          </w:p>
        </w:tc>
        <w:tc>
          <w:tcPr>
            <w:tcW w:w="2487" w:type="dxa"/>
            <w:vMerge w:val="continue"/>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p>
        </w:tc>
        <w:tc>
          <w:tcPr>
            <w:tcW w:w="2516" w:type="dxa"/>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eastAsia="zh-CN"/>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7</w:t>
            </w:r>
          </w:p>
        </w:tc>
        <w:tc>
          <w:tcPr>
            <w:tcW w:w="3150"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eastAsia="zh-CN"/>
              </w:rPr>
            </w:pPr>
            <w:r>
              <w:rPr>
                <w:rFonts w:hint="eastAsia" w:ascii="宋体" w:hAnsi="宋体" w:eastAsia="宋体" w:cs="宋体"/>
                <w:i w:val="0"/>
                <w:iCs w:val="0"/>
                <w:color w:val="000000"/>
                <w:kern w:val="0"/>
                <w:sz w:val="21"/>
                <w:szCs w:val="21"/>
                <w:u w:val="none"/>
                <w:lang w:val="en-US" w:eastAsia="zh-CN" w:bidi="ar"/>
              </w:rPr>
              <w:t>可预见的合理滥用</w:t>
            </w:r>
          </w:p>
        </w:tc>
        <w:tc>
          <w:tcPr>
            <w:tcW w:w="2487" w:type="dxa"/>
            <w:vMerge w:val="continue"/>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p>
        </w:tc>
        <w:tc>
          <w:tcPr>
            <w:tcW w:w="2516" w:type="dxa"/>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eastAsia="zh-CN"/>
              </w:rPr>
              <w:t>GB 6675.2-2014</w:t>
            </w:r>
          </w:p>
        </w:tc>
      </w:tr>
    </w:tbl>
    <w:p>
      <w:pPr>
        <w:keepNext w:val="0"/>
        <w:keepLines w:val="0"/>
        <w:pageBreakBefore w:val="0"/>
        <w:widowControl w:val="0"/>
        <w:shd w:val="clear"/>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表2毛绒、布制</w:t>
      </w:r>
      <w:r>
        <w:rPr>
          <w:rFonts w:hint="eastAsia" w:ascii="宋体" w:hAnsi="宋体" w:eastAsia="宋体" w:cs="宋体"/>
          <w:i w:val="0"/>
          <w:iCs w:val="0"/>
          <w:color w:val="000000"/>
          <w:kern w:val="0"/>
          <w:sz w:val="21"/>
          <w:szCs w:val="21"/>
          <w:u w:val="none"/>
          <w:lang w:val="en-US" w:eastAsia="zh-CN" w:bidi="ar"/>
        </w:rPr>
        <w:t>玩具</w:t>
      </w:r>
      <w:r>
        <w:rPr>
          <w:rFonts w:hint="eastAsia" w:ascii="宋体" w:hAnsi="宋体" w:eastAsia="宋体" w:cs="宋体"/>
          <w:color w:val="auto"/>
          <w:sz w:val="21"/>
          <w:szCs w:val="21"/>
          <w:highlight w:val="none"/>
          <w:lang w:val="en-US" w:eastAsia="zh-CN"/>
        </w:rPr>
        <w:t>检验项目</w:t>
      </w:r>
    </w:p>
    <w:tbl>
      <w:tblPr>
        <w:tblStyle w:val="10"/>
        <w:tblW w:w="91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3150"/>
        <w:gridCol w:w="2487"/>
        <w:gridCol w:w="2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dxa"/>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3150" w:type="dxa"/>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检验项目</w:t>
            </w:r>
          </w:p>
        </w:tc>
        <w:tc>
          <w:tcPr>
            <w:tcW w:w="2487" w:type="dxa"/>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执行标准</w:t>
            </w:r>
          </w:p>
        </w:tc>
        <w:tc>
          <w:tcPr>
            <w:tcW w:w="2516" w:type="dxa"/>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66"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3150" w:type="dxa"/>
            <w:noWrap w:val="0"/>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zh-CN" w:eastAsia="zh-CN" w:bidi="ar-SA"/>
              </w:rPr>
            </w:pPr>
            <w:r>
              <w:rPr>
                <w:rFonts w:hint="eastAsia" w:ascii="宋体" w:hAnsi="宋体" w:eastAsia="宋体" w:cs="宋体"/>
                <w:i w:val="0"/>
                <w:iCs w:val="0"/>
                <w:color w:val="000000"/>
                <w:kern w:val="0"/>
                <w:sz w:val="21"/>
                <w:szCs w:val="21"/>
                <w:u w:val="none"/>
                <w:lang w:val="en-US" w:eastAsia="zh-CN" w:bidi="ar"/>
              </w:rPr>
              <w:t>燃烧性能</w:t>
            </w:r>
          </w:p>
        </w:tc>
        <w:tc>
          <w:tcPr>
            <w:tcW w:w="2487" w:type="dxa"/>
            <w:vMerge w:val="restart"/>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9832-2007</w:t>
            </w:r>
          </w:p>
          <w:p>
            <w:pPr>
              <w:pStyle w:val="2"/>
              <w:jc w:val="center"/>
              <w:rPr>
                <w:rFonts w:hint="eastAsia" w:ascii="宋体" w:hAnsi="宋体" w:eastAsia="宋体" w:cs="宋体"/>
                <w:sz w:val="21"/>
                <w:szCs w:val="21"/>
                <w:lang w:val="en-US" w:eastAsia="zh-CN"/>
              </w:rPr>
            </w:pPr>
            <w:r>
              <w:rPr>
                <w:rFonts w:hint="eastAsia" w:ascii="宋体" w:hAnsi="宋体" w:eastAsia="宋体" w:cs="宋体"/>
                <w:color w:val="auto"/>
                <w:sz w:val="21"/>
                <w:szCs w:val="21"/>
                <w:highlight w:val="none"/>
                <w:lang w:val="en-US" w:eastAsia="zh-CN"/>
              </w:rPr>
              <w:t>GB 6675.3-2014</w:t>
            </w:r>
          </w:p>
        </w:tc>
        <w:tc>
          <w:tcPr>
            <w:tcW w:w="2516" w:type="dxa"/>
            <w:noWrap w:val="0"/>
            <w:vAlign w:val="bottom"/>
          </w:tcPr>
          <w:p>
            <w:pPr>
              <w:keepNext w:val="0"/>
              <w:keepLines w:val="0"/>
              <w:widowControl/>
              <w:suppressLineNumbers w:val="0"/>
              <w:jc w:val="center"/>
              <w:textAlignment w:val="bottom"/>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2</w:t>
            </w:r>
          </w:p>
        </w:tc>
        <w:tc>
          <w:tcPr>
            <w:tcW w:w="3150" w:type="dxa"/>
            <w:noWrap w:val="0"/>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缝纫拼缝及布绒牢度</w:t>
            </w:r>
          </w:p>
        </w:tc>
        <w:tc>
          <w:tcPr>
            <w:tcW w:w="2487" w:type="dxa"/>
            <w:vMerge w:val="continue"/>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p>
        </w:tc>
        <w:tc>
          <w:tcPr>
            <w:tcW w:w="2516" w:type="dxa"/>
            <w:noWrap w:val="0"/>
            <w:vAlign w:val="bottom"/>
          </w:tcPr>
          <w:p>
            <w:pPr>
              <w:keepNext w:val="0"/>
              <w:keepLines w:val="0"/>
              <w:widowControl/>
              <w:suppressLineNumbers w:val="0"/>
              <w:jc w:val="center"/>
              <w:textAlignment w:val="bottom"/>
              <w:rPr>
                <w:rFonts w:hint="eastAsia" w:ascii="宋体" w:hAnsi="宋体" w:eastAsia="宋体" w:cs="宋体"/>
                <w:color w:val="auto"/>
                <w:kern w:val="2"/>
                <w:sz w:val="21"/>
                <w:szCs w:val="21"/>
                <w:highlight w:val="none"/>
                <w:lang w:val="zh-CN" w:eastAsia="zh-CN" w:bidi="ar-SA"/>
              </w:rPr>
            </w:pPr>
            <w:r>
              <w:rPr>
                <w:rFonts w:hint="eastAsia" w:ascii="宋体" w:hAnsi="宋体" w:eastAsia="宋体" w:cs="宋体"/>
                <w:i w:val="0"/>
                <w:iCs w:val="0"/>
                <w:color w:val="000000"/>
                <w:kern w:val="0"/>
                <w:sz w:val="21"/>
                <w:szCs w:val="21"/>
                <w:u w:val="none"/>
                <w:lang w:val="en-US" w:eastAsia="zh-CN" w:bidi="ar"/>
              </w:rPr>
              <w:t>GB/T 9832-2007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3</w:t>
            </w:r>
          </w:p>
        </w:tc>
        <w:tc>
          <w:tcPr>
            <w:tcW w:w="3150" w:type="dxa"/>
            <w:noWrap w:val="0"/>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缝纫质量</w:t>
            </w:r>
          </w:p>
        </w:tc>
        <w:tc>
          <w:tcPr>
            <w:tcW w:w="2487" w:type="dxa"/>
            <w:vMerge w:val="continue"/>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p>
        </w:tc>
        <w:tc>
          <w:tcPr>
            <w:tcW w:w="2516" w:type="dxa"/>
            <w:noWrap w:val="0"/>
            <w:vAlign w:val="bottom"/>
          </w:tcPr>
          <w:p>
            <w:pPr>
              <w:keepNext w:val="0"/>
              <w:keepLines w:val="0"/>
              <w:widowControl/>
              <w:suppressLineNumbers w:val="0"/>
              <w:jc w:val="center"/>
              <w:textAlignment w:val="bottom"/>
              <w:rPr>
                <w:rFonts w:hint="eastAsia" w:ascii="宋体" w:hAnsi="宋体" w:eastAsia="宋体" w:cs="宋体"/>
                <w:i w:val="0"/>
                <w:iCs w:val="0"/>
                <w:color w:val="000000"/>
                <w:kern w:val="2"/>
                <w:sz w:val="21"/>
                <w:szCs w:val="21"/>
                <w:u w:val="none"/>
                <w:lang w:val="zh-CN" w:eastAsia="zh-CN" w:bidi="ar-SA"/>
              </w:rPr>
            </w:pPr>
            <w:r>
              <w:rPr>
                <w:rFonts w:hint="eastAsia" w:ascii="宋体" w:hAnsi="宋体" w:eastAsia="宋体" w:cs="宋体"/>
                <w:i w:val="0"/>
                <w:iCs w:val="0"/>
                <w:color w:val="000000"/>
                <w:kern w:val="0"/>
                <w:sz w:val="21"/>
                <w:szCs w:val="21"/>
                <w:u w:val="none"/>
                <w:lang w:val="en-US" w:eastAsia="zh-CN" w:bidi="ar"/>
              </w:rPr>
              <w:t>GB/T 9832-2007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4</w:t>
            </w:r>
          </w:p>
        </w:tc>
        <w:tc>
          <w:tcPr>
            <w:tcW w:w="3150" w:type="dxa"/>
            <w:noWrap w:val="0"/>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成品外表</w:t>
            </w:r>
          </w:p>
        </w:tc>
        <w:tc>
          <w:tcPr>
            <w:tcW w:w="2487" w:type="dxa"/>
            <w:vMerge w:val="continue"/>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p>
        </w:tc>
        <w:tc>
          <w:tcPr>
            <w:tcW w:w="2516" w:type="dxa"/>
            <w:noWrap w:val="0"/>
            <w:vAlign w:val="bottom"/>
          </w:tcPr>
          <w:p>
            <w:pPr>
              <w:keepNext w:val="0"/>
              <w:keepLines w:val="0"/>
              <w:widowControl/>
              <w:suppressLineNumbers w:val="0"/>
              <w:jc w:val="center"/>
              <w:textAlignment w:val="bottom"/>
              <w:rPr>
                <w:rFonts w:hint="eastAsia" w:ascii="宋体" w:hAnsi="宋体" w:eastAsia="宋体" w:cs="宋体"/>
                <w:i w:val="0"/>
                <w:iCs w:val="0"/>
                <w:color w:val="000000"/>
                <w:kern w:val="2"/>
                <w:sz w:val="21"/>
                <w:szCs w:val="21"/>
                <w:u w:val="none"/>
                <w:lang w:val="zh-CN" w:eastAsia="zh-CN" w:bidi="ar-SA"/>
              </w:rPr>
            </w:pPr>
            <w:r>
              <w:rPr>
                <w:rFonts w:hint="eastAsia" w:ascii="宋体" w:hAnsi="宋体" w:eastAsia="宋体" w:cs="宋体"/>
                <w:i w:val="0"/>
                <w:iCs w:val="0"/>
                <w:color w:val="000000"/>
                <w:kern w:val="0"/>
                <w:sz w:val="21"/>
                <w:szCs w:val="21"/>
                <w:u w:val="none"/>
                <w:lang w:val="en-US" w:eastAsia="zh-CN" w:bidi="ar"/>
              </w:rPr>
              <w:t>GB/T 9832-2007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5</w:t>
            </w:r>
          </w:p>
        </w:tc>
        <w:tc>
          <w:tcPr>
            <w:tcW w:w="3150" w:type="dxa"/>
            <w:noWrap w:val="0"/>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破洞</w:t>
            </w:r>
          </w:p>
        </w:tc>
        <w:tc>
          <w:tcPr>
            <w:tcW w:w="2487" w:type="dxa"/>
            <w:vMerge w:val="continue"/>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p>
        </w:tc>
        <w:tc>
          <w:tcPr>
            <w:tcW w:w="2516" w:type="dxa"/>
            <w:noWrap w:val="0"/>
            <w:vAlign w:val="bottom"/>
          </w:tcPr>
          <w:p>
            <w:pPr>
              <w:keepNext w:val="0"/>
              <w:keepLines w:val="0"/>
              <w:widowControl/>
              <w:suppressLineNumbers w:val="0"/>
              <w:jc w:val="center"/>
              <w:textAlignment w:val="bottom"/>
              <w:rPr>
                <w:rFonts w:hint="eastAsia" w:ascii="宋体" w:hAnsi="宋体" w:eastAsia="宋体" w:cs="宋体"/>
                <w:i w:val="0"/>
                <w:iCs w:val="0"/>
                <w:color w:val="000000"/>
                <w:kern w:val="2"/>
                <w:sz w:val="21"/>
                <w:szCs w:val="21"/>
                <w:u w:val="none"/>
                <w:lang w:val="zh-CN" w:eastAsia="zh-CN" w:bidi="ar-SA"/>
              </w:rPr>
            </w:pPr>
            <w:r>
              <w:rPr>
                <w:rFonts w:hint="eastAsia" w:ascii="宋体" w:hAnsi="宋体" w:eastAsia="宋体" w:cs="宋体"/>
                <w:i w:val="0"/>
                <w:iCs w:val="0"/>
                <w:color w:val="000000"/>
                <w:kern w:val="0"/>
                <w:sz w:val="21"/>
                <w:szCs w:val="21"/>
                <w:u w:val="none"/>
                <w:lang w:val="en-US" w:eastAsia="zh-CN" w:bidi="ar"/>
              </w:rPr>
              <w:t>GB/T 9832-2007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6</w:t>
            </w:r>
          </w:p>
        </w:tc>
        <w:tc>
          <w:tcPr>
            <w:tcW w:w="3150" w:type="dxa"/>
            <w:noWrap w:val="0"/>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表情装饰线</w:t>
            </w:r>
          </w:p>
        </w:tc>
        <w:tc>
          <w:tcPr>
            <w:tcW w:w="2487" w:type="dxa"/>
            <w:vMerge w:val="continue"/>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p>
        </w:tc>
        <w:tc>
          <w:tcPr>
            <w:tcW w:w="2516" w:type="dxa"/>
            <w:noWrap w:val="0"/>
            <w:vAlign w:val="bottom"/>
          </w:tcPr>
          <w:p>
            <w:pPr>
              <w:keepNext w:val="0"/>
              <w:keepLines w:val="0"/>
              <w:widowControl/>
              <w:suppressLineNumbers w:val="0"/>
              <w:jc w:val="center"/>
              <w:textAlignment w:val="bottom"/>
              <w:rPr>
                <w:rFonts w:hint="eastAsia" w:ascii="宋体" w:hAnsi="宋体" w:eastAsia="宋体" w:cs="宋体"/>
                <w:i w:val="0"/>
                <w:iCs w:val="0"/>
                <w:color w:val="000000"/>
                <w:kern w:val="2"/>
                <w:sz w:val="21"/>
                <w:szCs w:val="21"/>
                <w:u w:val="none"/>
                <w:lang w:val="zh-CN" w:eastAsia="zh-CN" w:bidi="ar-SA"/>
              </w:rPr>
            </w:pPr>
            <w:r>
              <w:rPr>
                <w:rFonts w:hint="eastAsia" w:ascii="宋体" w:hAnsi="宋体" w:eastAsia="宋体" w:cs="宋体"/>
                <w:i w:val="0"/>
                <w:iCs w:val="0"/>
                <w:color w:val="000000"/>
                <w:kern w:val="0"/>
                <w:sz w:val="21"/>
                <w:szCs w:val="21"/>
                <w:u w:val="none"/>
                <w:lang w:val="en-US" w:eastAsia="zh-CN" w:bidi="ar"/>
              </w:rPr>
              <w:t>GB/T 9832-2007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7</w:t>
            </w:r>
          </w:p>
        </w:tc>
        <w:tc>
          <w:tcPr>
            <w:tcW w:w="3150" w:type="dxa"/>
            <w:noWrap w:val="0"/>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填充物</w:t>
            </w:r>
          </w:p>
        </w:tc>
        <w:tc>
          <w:tcPr>
            <w:tcW w:w="2487" w:type="dxa"/>
            <w:vMerge w:val="continue"/>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p>
        </w:tc>
        <w:tc>
          <w:tcPr>
            <w:tcW w:w="2516" w:type="dxa"/>
            <w:noWrap w:val="0"/>
            <w:vAlign w:val="bottom"/>
          </w:tcPr>
          <w:p>
            <w:pPr>
              <w:keepNext w:val="0"/>
              <w:keepLines w:val="0"/>
              <w:widowControl/>
              <w:suppressLineNumbers w:val="0"/>
              <w:jc w:val="center"/>
              <w:textAlignment w:val="bottom"/>
              <w:rPr>
                <w:rFonts w:hint="eastAsia" w:ascii="宋体" w:hAnsi="宋体" w:eastAsia="宋体" w:cs="宋体"/>
                <w:i w:val="0"/>
                <w:iCs w:val="0"/>
                <w:color w:val="000000"/>
                <w:kern w:val="2"/>
                <w:sz w:val="21"/>
                <w:szCs w:val="21"/>
                <w:u w:val="none"/>
                <w:lang w:val="zh-CN" w:eastAsia="zh-CN" w:bidi="ar-SA"/>
              </w:rPr>
            </w:pPr>
            <w:r>
              <w:rPr>
                <w:rFonts w:hint="eastAsia" w:ascii="宋体" w:hAnsi="宋体" w:eastAsia="宋体" w:cs="宋体"/>
                <w:i w:val="0"/>
                <w:iCs w:val="0"/>
                <w:color w:val="000000"/>
                <w:kern w:val="0"/>
                <w:sz w:val="21"/>
                <w:szCs w:val="21"/>
                <w:u w:val="none"/>
                <w:lang w:val="en-US" w:eastAsia="zh-CN" w:bidi="ar"/>
              </w:rPr>
              <w:t>GB/T 9832-2007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8</w:t>
            </w:r>
          </w:p>
        </w:tc>
        <w:tc>
          <w:tcPr>
            <w:tcW w:w="3150" w:type="dxa"/>
            <w:noWrap w:val="0"/>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颗粒填充物内胆</w:t>
            </w:r>
          </w:p>
        </w:tc>
        <w:tc>
          <w:tcPr>
            <w:tcW w:w="2487" w:type="dxa"/>
            <w:vMerge w:val="continue"/>
            <w:noWrap w:val="0"/>
            <w:vAlign w:val="center"/>
          </w:tcPr>
          <w:p>
            <w:pPr>
              <w:keepNext w:val="0"/>
              <w:keepLines w:val="0"/>
              <w:pageBreakBefore w:val="0"/>
              <w:shd w:val="clear"/>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p>
        </w:tc>
        <w:tc>
          <w:tcPr>
            <w:tcW w:w="2516" w:type="dxa"/>
            <w:noWrap w:val="0"/>
            <w:vAlign w:val="bottom"/>
          </w:tcPr>
          <w:p>
            <w:pPr>
              <w:keepNext w:val="0"/>
              <w:keepLines w:val="0"/>
              <w:widowControl/>
              <w:suppressLineNumbers w:val="0"/>
              <w:jc w:val="center"/>
              <w:textAlignment w:val="bottom"/>
              <w:rPr>
                <w:rFonts w:hint="eastAsia" w:ascii="宋体" w:hAnsi="宋体" w:eastAsia="宋体" w:cs="宋体"/>
                <w:i w:val="0"/>
                <w:iCs w:val="0"/>
                <w:color w:val="000000"/>
                <w:kern w:val="2"/>
                <w:sz w:val="21"/>
                <w:szCs w:val="21"/>
                <w:u w:val="none"/>
                <w:lang w:val="zh-CN" w:eastAsia="zh-CN" w:bidi="ar-SA"/>
              </w:rPr>
            </w:pPr>
            <w:r>
              <w:rPr>
                <w:rFonts w:hint="eastAsia" w:ascii="宋体" w:hAnsi="宋体" w:eastAsia="宋体" w:cs="宋体"/>
                <w:i w:val="0"/>
                <w:iCs w:val="0"/>
                <w:color w:val="000000"/>
                <w:kern w:val="0"/>
                <w:sz w:val="21"/>
                <w:szCs w:val="21"/>
                <w:u w:val="none"/>
                <w:lang w:val="en-US" w:eastAsia="zh-CN" w:bidi="ar"/>
              </w:rPr>
              <w:t>GB/T 9832-2007</w:t>
            </w:r>
          </w:p>
        </w:tc>
      </w:tr>
    </w:tbl>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000000"/>
          <w:sz w:val="21"/>
          <w:szCs w:val="21"/>
          <w:highlight w:val="none"/>
        </w:rPr>
      </w:pPr>
      <w:bookmarkStart w:id="1" w:name="_GoBack"/>
      <w:r>
        <w:rPr>
          <w:rFonts w:hint="eastAsia" w:ascii="宋体" w:hAnsi="宋体" w:eastAsia="宋体" w:cs="宋体"/>
          <w:color w:val="000000"/>
          <w:sz w:val="21"/>
          <w:szCs w:val="21"/>
          <w:highlight w:val="none"/>
        </w:rPr>
        <w:t>执行企业标准、团体标准、地方标准的产品，检验项目参照上述内容执行。</w:t>
      </w:r>
      <w:bookmarkEnd w:id="0"/>
    </w:p>
    <w:p>
      <w:pPr>
        <w:keepNext w:val="0"/>
        <w:keepLines w:val="0"/>
        <w:pageBreakBefore w:val="0"/>
        <w:widowControl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snapToGrid w:val="0"/>
        <w:spacing w:beforeLines="50" w:line="440" w:lineRule="exact"/>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3 判定规则</w:t>
      </w:r>
    </w:p>
    <w:p>
      <w:pPr>
        <w:keepNext w:val="0"/>
        <w:keepLines w:val="0"/>
        <w:pageBreakBefore w:val="0"/>
        <w:widowControl w:val="0"/>
        <w:kinsoku/>
        <w:wordWrap/>
        <w:overflowPunct/>
        <w:topLinePunct w:val="0"/>
        <w:autoSpaceDE/>
        <w:autoSpaceDN/>
        <w:bidi w:val="0"/>
        <w:snapToGrid w:val="0"/>
        <w:spacing w:line="44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3.1依据标准</w:t>
      </w:r>
    </w:p>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 xml:space="preserve">GB 6675.1-2014 玩具安全 第1部分：基本规范            </w:t>
      </w:r>
    </w:p>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GB 6675.2-2014 玩具安全 第2部分：机械与物理性能</w:t>
      </w:r>
    </w:p>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 xml:space="preserve">GB/T 9832-2007 毛绒、布制玩具             </w:t>
      </w:r>
    </w:p>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GB 6675.3-2014 玩具安全 第3部分：易燃性能</w:t>
      </w:r>
    </w:p>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eastAsia="zh-CN"/>
        </w:rPr>
        <w:t>现行有效的企业标准、团体标准、地方标准及产品明示质量要求</w:t>
      </w:r>
    </w:p>
    <w:p>
      <w:pPr>
        <w:keepNext w:val="0"/>
        <w:keepLines w:val="0"/>
        <w:pageBreakBefore w:val="0"/>
        <w:widowControl w:val="0"/>
        <w:kinsoku/>
        <w:wordWrap/>
        <w:overflowPunct/>
        <w:topLinePunct w:val="0"/>
        <w:autoSpaceDE/>
        <w:autoSpaceDN/>
        <w:bidi w:val="0"/>
        <w:snapToGrid w:val="0"/>
        <w:spacing w:line="44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3.2判定原则</w:t>
      </w:r>
    </w:p>
    <w:p>
      <w:pPr>
        <w:keepNext w:val="0"/>
        <w:keepLines w:val="0"/>
        <w:pageBreakBefore w:val="0"/>
        <w:widowControl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经检验，检验项目全部合格，判定为被抽查产品合格；检验项目中任一项或一项以上不合格，判定为被抽查产品不合格。</w:t>
      </w:r>
    </w:p>
    <w:p>
      <w:pPr>
        <w:keepNext w:val="0"/>
        <w:keepLines w:val="0"/>
        <w:pageBreakBefore w:val="0"/>
        <w:widowControl w:val="0"/>
        <w:kinsoku/>
        <w:wordWrap/>
        <w:overflowPunct/>
        <w:topLinePunct w:val="0"/>
        <w:autoSpaceDE/>
        <w:autoSpaceDN/>
        <w:bidi w:val="0"/>
        <w:snapToGrid w:val="0"/>
        <w:spacing w:line="440" w:lineRule="exact"/>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440" w:lineRule="exact"/>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440" w:lineRule="exact"/>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440" w:lineRule="exact"/>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440" w:lineRule="exact"/>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若被检产品明示的质量要求缺少本细则中检验项目依据的推荐性标准要求时，该项目不参与判定。</w:t>
      </w:r>
    </w:p>
    <w:bookmarkEnd w:id="1"/>
    <w:sectPr>
      <w:headerReference r:id="rId3" w:type="default"/>
      <w:footerReference r:id="rId4" w:type="default"/>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cs="宋体"/>
        <w:sz w:val="21"/>
        <w:szCs w:val="21"/>
      </w:rPr>
    </w:pPr>
    <w:r>
      <w:rPr>
        <w:rFonts w:ascii="宋体" w:hAnsi="宋体" w:cs="宋体"/>
        <w:sz w:val="21"/>
        <w:szCs w:val="21"/>
        <w:lang w:val="zh-CN"/>
      </w:rPr>
      <w:fldChar w:fldCharType="begin"/>
    </w:r>
    <w:r>
      <w:rPr>
        <w:rFonts w:ascii="宋体" w:hAnsi="宋体" w:cs="宋体"/>
        <w:sz w:val="21"/>
        <w:szCs w:val="21"/>
        <w:lang w:val="zh-CN"/>
      </w:rPr>
      <w:instrText xml:space="preserve"> PAGE   \* MERGEFORMAT </w:instrText>
    </w:r>
    <w:r>
      <w:rPr>
        <w:rFonts w:ascii="宋体" w:hAnsi="宋体" w:cs="宋体"/>
        <w:sz w:val="21"/>
        <w:szCs w:val="21"/>
        <w:lang w:val="zh-CN"/>
      </w:rPr>
      <w:fldChar w:fldCharType="separate"/>
    </w:r>
    <w:r>
      <w:rPr>
        <w:rFonts w:ascii="宋体" w:hAnsi="宋体" w:cs="宋体"/>
        <w:sz w:val="21"/>
        <w:szCs w:val="21"/>
        <w:lang w:val="en-US"/>
      </w:rPr>
      <w:t>1</w:t>
    </w:r>
    <w:r>
      <w:rPr>
        <w:rFonts w:ascii="宋体" w:hAnsi="宋体" w:cs="宋体"/>
        <w:sz w:val="21"/>
        <w:szCs w:val="21"/>
        <w:lang w:val="zh-CN"/>
      </w:rP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xZGVlZDJkYTAxYjM0N2IxODAwMjA0MTQxYTdhZDEifQ=="/>
  </w:docVars>
  <w:rsids>
    <w:rsidRoot w:val="00172A27"/>
    <w:rsid w:val="00042073"/>
    <w:rsid w:val="00044395"/>
    <w:rsid w:val="00051A44"/>
    <w:rsid w:val="00067341"/>
    <w:rsid w:val="00075F11"/>
    <w:rsid w:val="00081CBD"/>
    <w:rsid w:val="00094077"/>
    <w:rsid w:val="000976DE"/>
    <w:rsid w:val="000B4710"/>
    <w:rsid w:val="000D3400"/>
    <w:rsid w:val="000D5D4E"/>
    <w:rsid w:val="000E6F29"/>
    <w:rsid w:val="000F03DF"/>
    <w:rsid w:val="000F3729"/>
    <w:rsid w:val="00145507"/>
    <w:rsid w:val="0015727A"/>
    <w:rsid w:val="00164FF8"/>
    <w:rsid w:val="001710C3"/>
    <w:rsid w:val="00172A27"/>
    <w:rsid w:val="001809DD"/>
    <w:rsid w:val="00194335"/>
    <w:rsid w:val="001B6212"/>
    <w:rsid w:val="001C1BB2"/>
    <w:rsid w:val="001E2620"/>
    <w:rsid w:val="001E5FEE"/>
    <w:rsid w:val="002209DD"/>
    <w:rsid w:val="002301B8"/>
    <w:rsid w:val="00235A62"/>
    <w:rsid w:val="0025350A"/>
    <w:rsid w:val="00253624"/>
    <w:rsid w:val="002619B0"/>
    <w:rsid w:val="002623DD"/>
    <w:rsid w:val="0027151F"/>
    <w:rsid w:val="002A5458"/>
    <w:rsid w:val="002B5408"/>
    <w:rsid w:val="002D3385"/>
    <w:rsid w:val="002D4076"/>
    <w:rsid w:val="002D7F8A"/>
    <w:rsid w:val="002E0D1D"/>
    <w:rsid w:val="002E792F"/>
    <w:rsid w:val="003203A3"/>
    <w:rsid w:val="0034769B"/>
    <w:rsid w:val="00351550"/>
    <w:rsid w:val="00357AC7"/>
    <w:rsid w:val="003640ED"/>
    <w:rsid w:val="003C388C"/>
    <w:rsid w:val="003E61BF"/>
    <w:rsid w:val="003F553F"/>
    <w:rsid w:val="004206DA"/>
    <w:rsid w:val="004437D9"/>
    <w:rsid w:val="00445E86"/>
    <w:rsid w:val="0046458B"/>
    <w:rsid w:val="00474E04"/>
    <w:rsid w:val="004A64B5"/>
    <w:rsid w:val="004C761F"/>
    <w:rsid w:val="004D0C5A"/>
    <w:rsid w:val="004E1396"/>
    <w:rsid w:val="004F555A"/>
    <w:rsid w:val="0051162F"/>
    <w:rsid w:val="00541BF7"/>
    <w:rsid w:val="00563EBC"/>
    <w:rsid w:val="00597FA2"/>
    <w:rsid w:val="005B0B4F"/>
    <w:rsid w:val="005F353F"/>
    <w:rsid w:val="006056EB"/>
    <w:rsid w:val="0061086F"/>
    <w:rsid w:val="00662229"/>
    <w:rsid w:val="006713D6"/>
    <w:rsid w:val="00681EDA"/>
    <w:rsid w:val="00692B5B"/>
    <w:rsid w:val="00693B8F"/>
    <w:rsid w:val="006971BF"/>
    <w:rsid w:val="006A4B8F"/>
    <w:rsid w:val="006F0971"/>
    <w:rsid w:val="00715923"/>
    <w:rsid w:val="0072334C"/>
    <w:rsid w:val="007235B4"/>
    <w:rsid w:val="007408F6"/>
    <w:rsid w:val="007652A4"/>
    <w:rsid w:val="007A39F0"/>
    <w:rsid w:val="007B5BD5"/>
    <w:rsid w:val="007C60F1"/>
    <w:rsid w:val="007E1E99"/>
    <w:rsid w:val="007E6900"/>
    <w:rsid w:val="007F047E"/>
    <w:rsid w:val="00822D40"/>
    <w:rsid w:val="008839CD"/>
    <w:rsid w:val="00895BEA"/>
    <w:rsid w:val="008A3497"/>
    <w:rsid w:val="008B2694"/>
    <w:rsid w:val="00902779"/>
    <w:rsid w:val="009100B4"/>
    <w:rsid w:val="00917A54"/>
    <w:rsid w:val="00990873"/>
    <w:rsid w:val="009A6948"/>
    <w:rsid w:val="00A43553"/>
    <w:rsid w:val="00A52698"/>
    <w:rsid w:val="00A66378"/>
    <w:rsid w:val="00A714C4"/>
    <w:rsid w:val="00A81A11"/>
    <w:rsid w:val="00AB406F"/>
    <w:rsid w:val="00AB5364"/>
    <w:rsid w:val="00AD1F0D"/>
    <w:rsid w:val="00B00A02"/>
    <w:rsid w:val="00B11BDC"/>
    <w:rsid w:val="00B21814"/>
    <w:rsid w:val="00B501D0"/>
    <w:rsid w:val="00B71C88"/>
    <w:rsid w:val="00B80796"/>
    <w:rsid w:val="00B90291"/>
    <w:rsid w:val="00BA3F4E"/>
    <w:rsid w:val="00BA571D"/>
    <w:rsid w:val="00BA612B"/>
    <w:rsid w:val="00BB6A5D"/>
    <w:rsid w:val="00BD1FD8"/>
    <w:rsid w:val="00C116DD"/>
    <w:rsid w:val="00C26074"/>
    <w:rsid w:val="00C61942"/>
    <w:rsid w:val="00C83B0A"/>
    <w:rsid w:val="00C94B32"/>
    <w:rsid w:val="00CA078C"/>
    <w:rsid w:val="00CE1E0C"/>
    <w:rsid w:val="00CE277E"/>
    <w:rsid w:val="00D02FE3"/>
    <w:rsid w:val="00D1749D"/>
    <w:rsid w:val="00D56867"/>
    <w:rsid w:val="00D822C3"/>
    <w:rsid w:val="00DE52A3"/>
    <w:rsid w:val="00DE59CE"/>
    <w:rsid w:val="00E02A7F"/>
    <w:rsid w:val="00E07880"/>
    <w:rsid w:val="00E207FA"/>
    <w:rsid w:val="00E60E75"/>
    <w:rsid w:val="00E72135"/>
    <w:rsid w:val="00E722A0"/>
    <w:rsid w:val="00E75D62"/>
    <w:rsid w:val="00E76709"/>
    <w:rsid w:val="00E76F36"/>
    <w:rsid w:val="00E82621"/>
    <w:rsid w:val="00ED4B24"/>
    <w:rsid w:val="00F110BB"/>
    <w:rsid w:val="00F17854"/>
    <w:rsid w:val="00F36E11"/>
    <w:rsid w:val="00F61C45"/>
    <w:rsid w:val="00F77C9A"/>
    <w:rsid w:val="00F824D9"/>
    <w:rsid w:val="00F954E2"/>
    <w:rsid w:val="00FA2CA5"/>
    <w:rsid w:val="00FB576C"/>
    <w:rsid w:val="00FD2AA6"/>
    <w:rsid w:val="00FD6AFF"/>
    <w:rsid w:val="00FE7E8A"/>
    <w:rsid w:val="01004ACB"/>
    <w:rsid w:val="01671AD5"/>
    <w:rsid w:val="019208AA"/>
    <w:rsid w:val="01A31A0F"/>
    <w:rsid w:val="01AA3877"/>
    <w:rsid w:val="02C32E43"/>
    <w:rsid w:val="02E83562"/>
    <w:rsid w:val="035937A7"/>
    <w:rsid w:val="048C6B7C"/>
    <w:rsid w:val="04AC5B58"/>
    <w:rsid w:val="06347E4B"/>
    <w:rsid w:val="06583BFF"/>
    <w:rsid w:val="065E40F5"/>
    <w:rsid w:val="07455335"/>
    <w:rsid w:val="078D49E7"/>
    <w:rsid w:val="07C863CE"/>
    <w:rsid w:val="084C38DA"/>
    <w:rsid w:val="093525C0"/>
    <w:rsid w:val="09532056"/>
    <w:rsid w:val="09A6261B"/>
    <w:rsid w:val="0A061B9A"/>
    <w:rsid w:val="0A3507BB"/>
    <w:rsid w:val="0A5C6552"/>
    <w:rsid w:val="0A930FF4"/>
    <w:rsid w:val="0AC277D7"/>
    <w:rsid w:val="0AD37AC8"/>
    <w:rsid w:val="0B6D1FE5"/>
    <w:rsid w:val="0B8B1738"/>
    <w:rsid w:val="0BA80E28"/>
    <w:rsid w:val="0D532C07"/>
    <w:rsid w:val="0D913B3D"/>
    <w:rsid w:val="0DA3155F"/>
    <w:rsid w:val="0E3E1F17"/>
    <w:rsid w:val="0E6D7CC2"/>
    <w:rsid w:val="0E7771D7"/>
    <w:rsid w:val="0EB600C0"/>
    <w:rsid w:val="0EB67424"/>
    <w:rsid w:val="0F4C135D"/>
    <w:rsid w:val="0FAC4C5F"/>
    <w:rsid w:val="10A20E04"/>
    <w:rsid w:val="10E5667A"/>
    <w:rsid w:val="111156C1"/>
    <w:rsid w:val="11AA6CFD"/>
    <w:rsid w:val="11E02B36"/>
    <w:rsid w:val="121D3BF2"/>
    <w:rsid w:val="121E77F5"/>
    <w:rsid w:val="12AD17A2"/>
    <w:rsid w:val="12FF038F"/>
    <w:rsid w:val="130D010A"/>
    <w:rsid w:val="135C6AE0"/>
    <w:rsid w:val="14403F37"/>
    <w:rsid w:val="14812D6C"/>
    <w:rsid w:val="151632A6"/>
    <w:rsid w:val="160618C5"/>
    <w:rsid w:val="166E0EC0"/>
    <w:rsid w:val="16A513BB"/>
    <w:rsid w:val="16CD3E38"/>
    <w:rsid w:val="174851B8"/>
    <w:rsid w:val="179130B8"/>
    <w:rsid w:val="18855971"/>
    <w:rsid w:val="18DC65B5"/>
    <w:rsid w:val="18F360E2"/>
    <w:rsid w:val="190B7525"/>
    <w:rsid w:val="198A7DBF"/>
    <w:rsid w:val="19CE37E7"/>
    <w:rsid w:val="19D030B3"/>
    <w:rsid w:val="19FD421C"/>
    <w:rsid w:val="1A4B03FB"/>
    <w:rsid w:val="1ACE07F9"/>
    <w:rsid w:val="1AE34681"/>
    <w:rsid w:val="1AF75928"/>
    <w:rsid w:val="1B312BD1"/>
    <w:rsid w:val="1CBF06C7"/>
    <w:rsid w:val="1D6E57D3"/>
    <w:rsid w:val="1DC626DE"/>
    <w:rsid w:val="1E651B5D"/>
    <w:rsid w:val="1E8A6DBD"/>
    <w:rsid w:val="1F353E4A"/>
    <w:rsid w:val="1F4F2BD2"/>
    <w:rsid w:val="1FF741CC"/>
    <w:rsid w:val="204F1D62"/>
    <w:rsid w:val="210C148C"/>
    <w:rsid w:val="213D1BBA"/>
    <w:rsid w:val="21470C8B"/>
    <w:rsid w:val="21A54788"/>
    <w:rsid w:val="21BE04B9"/>
    <w:rsid w:val="21F821EF"/>
    <w:rsid w:val="220F3EEC"/>
    <w:rsid w:val="22206785"/>
    <w:rsid w:val="22F24B53"/>
    <w:rsid w:val="232C1EE7"/>
    <w:rsid w:val="23C14D25"/>
    <w:rsid w:val="23CA70BF"/>
    <w:rsid w:val="23F81DA5"/>
    <w:rsid w:val="23FB4AA2"/>
    <w:rsid w:val="244020ED"/>
    <w:rsid w:val="24465687"/>
    <w:rsid w:val="24BC7192"/>
    <w:rsid w:val="25651A24"/>
    <w:rsid w:val="25753316"/>
    <w:rsid w:val="25916979"/>
    <w:rsid w:val="25B87416"/>
    <w:rsid w:val="25E44CFA"/>
    <w:rsid w:val="26212DDE"/>
    <w:rsid w:val="26234156"/>
    <w:rsid w:val="26497204"/>
    <w:rsid w:val="268D7140"/>
    <w:rsid w:val="26E45E5E"/>
    <w:rsid w:val="273E043A"/>
    <w:rsid w:val="27EB6814"/>
    <w:rsid w:val="283F446A"/>
    <w:rsid w:val="284042E0"/>
    <w:rsid w:val="285E0D94"/>
    <w:rsid w:val="28681C13"/>
    <w:rsid w:val="288555FE"/>
    <w:rsid w:val="2A9443BD"/>
    <w:rsid w:val="2AC64F81"/>
    <w:rsid w:val="2ACE735A"/>
    <w:rsid w:val="2AEF6C27"/>
    <w:rsid w:val="2B35258B"/>
    <w:rsid w:val="2C4B7184"/>
    <w:rsid w:val="2C567FD4"/>
    <w:rsid w:val="2C8E776E"/>
    <w:rsid w:val="2CED1E3A"/>
    <w:rsid w:val="2D094375"/>
    <w:rsid w:val="2D8D6C1D"/>
    <w:rsid w:val="2E0252B1"/>
    <w:rsid w:val="2E7F3812"/>
    <w:rsid w:val="2EAE2CC6"/>
    <w:rsid w:val="2F045AE0"/>
    <w:rsid w:val="2F5A7DDB"/>
    <w:rsid w:val="2FAA4B71"/>
    <w:rsid w:val="30224D9D"/>
    <w:rsid w:val="31904FED"/>
    <w:rsid w:val="320329AC"/>
    <w:rsid w:val="32951856"/>
    <w:rsid w:val="32C74F2A"/>
    <w:rsid w:val="33B65F28"/>
    <w:rsid w:val="34522BF0"/>
    <w:rsid w:val="34892BC5"/>
    <w:rsid w:val="34897229"/>
    <w:rsid w:val="34F60CF4"/>
    <w:rsid w:val="353B5493"/>
    <w:rsid w:val="353F63C9"/>
    <w:rsid w:val="35973B37"/>
    <w:rsid w:val="36B204FD"/>
    <w:rsid w:val="36FF3742"/>
    <w:rsid w:val="37307DA0"/>
    <w:rsid w:val="374D6DF9"/>
    <w:rsid w:val="37936580"/>
    <w:rsid w:val="3852702E"/>
    <w:rsid w:val="38622291"/>
    <w:rsid w:val="38D8249D"/>
    <w:rsid w:val="38F45B4D"/>
    <w:rsid w:val="399D7242"/>
    <w:rsid w:val="39CE1AF2"/>
    <w:rsid w:val="39CE38A0"/>
    <w:rsid w:val="39EB6200"/>
    <w:rsid w:val="3C632716"/>
    <w:rsid w:val="3C8E106E"/>
    <w:rsid w:val="3CDF0D57"/>
    <w:rsid w:val="3D396084"/>
    <w:rsid w:val="3D761CEC"/>
    <w:rsid w:val="3DB40B61"/>
    <w:rsid w:val="3F0415FA"/>
    <w:rsid w:val="40DE261A"/>
    <w:rsid w:val="416E7E42"/>
    <w:rsid w:val="41B96BE3"/>
    <w:rsid w:val="42C568BC"/>
    <w:rsid w:val="43DE63A5"/>
    <w:rsid w:val="440C3942"/>
    <w:rsid w:val="44DC5E49"/>
    <w:rsid w:val="44F97927"/>
    <w:rsid w:val="45BE672D"/>
    <w:rsid w:val="45EF6003"/>
    <w:rsid w:val="46081EE8"/>
    <w:rsid w:val="46476EB4"/>
    <w:rsid w:val="46B8256F"/>
    <w:rsid w:val="47CB736B"/>
    <w:rsid w:val="47E42D3C"/>
    <w:rsid w:val="48926E4B"/>
    <w:rsid w:val="489B1C01"/>
    <w:rsid w:val="48BA1BBF"/>
    <w:rsid w:val="4A113A61"/>
    <w:rsid w:val="4A8F6B11"/>
    <w:rsid w:val="4B250924"/>
    <w:rsid w:val="4B6F5166"/>
    <w:rsid w:val="4B7818BD"/>
    <w:rsid w:val="4BEF5B96"/>
    <w:rsid w:val="4C696D9A"/>
    <w:rsid w:val="4D3E0715"/>
    <w:rsid w:val="4DFE254E"/>
    <w:rsid w:val="4EC27E97"/>
    <w:rsid w:val="509458C1"/>
    <w:rsid w:val="50D6330E"/>
    <w:rsid w:val="50DF4A13"/>
    <w:rsid w:val="5153495F"/>
    <w:rsid w:val="51D6733E"/>
    <w:rsid w:val="522E361F"/>
    <w:rsid w:val="522E622F"/>
    <w:rsid w:val="524152A4"/>
    <w:rsid w:val="527222CF"/>
    <w:rsid w:val="532A5B93"/>
    <w:rsid w:val="533A400F"/>
    <w:rsid w:val="53607DD7"/>
    <w:rsid w:val="53C02053"/>
    <w:rsid w:val="53C66440"/>
    <w:rsid w:val="53DB13D1"/>
    <w:rsid w:val="54CF67CC"/>
    <w:rsid w:val="54F93A6F"/>
    <w:rsid w:val="55055F70"/>
    <w:rsid w:val="550E5435"/>
    <w:rsid w:val="5513308D"/>
    <w:rsid w:val="55752566"/>
    <w:rsid w:val="565C77C3"/>
    <w:rsid w:val="56611181"/>
    <w:rsid w:val="5661367A"/>
    <w:rsid w:val="57B32CB8"/>
    <w:rsid w:val="57B819BF"/>
    <w:rsid w:val="57CF5FEC"/>
    <w:rsid w:val="583B3FD4"/>
    <w:rsid w:val="587E3410"/>
    <w:rsid w:val="58B303D9"/>
    <w:rsid w:val="58FE78A6"/>
    <w:rsid w:val="590A624B"/>
    <w:rsid w:val="59485891"/>
    <w:rsid w:val="59635BFA"/>
    <w:rsid w:val="5A1B39FF"/>
    <w:rsid w:val="5A6C4CE3"/>
    <w:rsid w:val="5A846EBF"/>
    <w:rsid w:val="5ABD01F2"/>
    <w:rsid w:val="5B6E0B14"/>
    <w:rsid w:val="5C3B671B"/>
    <w:rsid w:val="5C545A2F"/>
    <w:rsid w:val="5CB12E81"/>
    <w:rsid w:val="5CBB6483"/>
    <w:rsid w:val="5CCB630D"/>
    <w:rsid w:val="5CD61A7C"/>
    <w:rsid w:val="5CD77B3F"/>
    <w:rsid w:val="5CF1327E"/>
    <w:rsid w:val="5D8660BC"/>
    <w:rsid w:val="5DC6470A"/>
    <w:rsid w:val="5E005E6E"/>
    <w:rsid w:val="5E0B2391"/>
    <w:rsid w:val="5E4A2C9B"/>
    <w:rsid w:val="5E9521B4"/>
    <w:rsid w:val="5EE0478F"/>
    <w:rsid w:val="5EE40D51"/>
    <w:rsid w:val="5EF145FA"/>
    <w:rsid w:val="5FA82319"/>
    <w:rsid w:val="5FBC4732"/>
    <w:rsid w:val="5FE77CE8"/>
    <w:rsid w:val="60B74CE9"/>
    <w:rsid w:val="60F16471"/>
    <w:rsid w:val="612F72AE"/>
    <w:rsid w:val="615C7DF0"/>
    <w:rsid w:val="61954B1F"/>
    <w:rsid w:val="62A11406"/>
    <w:rsid w:val="62AF16D3"/>
    <w:rsid w:val="63141C46"/>
    <w:rsid w:val="632F68AE"/>
    <w:rsid w:val="63C81B21"/>
    <w:rsid w:val="63CD67F3"/>
    <w:rsid w:val="64195594"/>
    <w:rsid w:val="6481138B"/>
    <w:rsid w:val="64C37830"/>
    <w:rsid w:val="64DF1CA6"/>
    <w:rsid w:val="65314B5F"/>
    <w:rsid w:val="65597FF0"/>
    <w:rsid w:val="65633D8D"/>
    <w:rsid w:val="65C33D74"/>
    <w:rsid w:val="67F929C5"/>
    <w:rsid w:val="680A5956"/>
    <w:rsid w:val="68612EB3"/>
    <w:rsid w:val="68802085"/>
    <w:rsid w:val="695011AA"/>
    <w:rsid w:val="695B599D"/>
    <w:rsid w:val="6A3E5A5A"/>
    <w:rsid w:val="6AA14535"/>
    <w:rsid w:val="6AE83F12"/>
    <w:rsid w:val="6AFF3C8B"/>
    <w:rsid w:val="6C586E75"/>
    <w:rsid w:val="6CB26F15"/>
    <w:rsid w:val="6D245A6D"/>
    <w:rsid w:val="6D3B2A1F"/>
    <w:rsid w:val="6DA1711F"/>
    <w:rsid w:val="6DD72BB3"/>
    <w:rsid w:val="6DE427C7"/>
    <w:rsid w:val="6E162B44"/>
    <w:rsid w:val="6E5C0E9F"/>
    <w:rsid w:val="6F656B40"/>
    <w:rsid w:val="700115ED"/>
    <w:rsid w:val="70114AD2"/>
    <w:rsid w:val="704B666D"/>
    <w:rsid w:val="70F33611"/>
    <w:rsid w:val="710D6480"/>
    <w:rsid w:val="71227C4B"/>
    <w:rsid w:val="713F0D28"/>
    <w:rsid w:val="71DD1752"/>
    <w:rsid w:val="71E748F5"/>
    <w:rsid w:val="731564B1"/>
    <w:rsid w:val="733962DF"/>
    <w:rsid w:val="734E4B2E"/>
    <w:rsid w:val="743A1F10"/>
    <w:rsid w:val="74CE7542"/>
    <w:rsid w:val="75295853"/>
    <w:rsid w:val="757271D1"/>
    <w:rsid w:val="75846F2D"/>
    <w:rsid w:val="75B861D3"/>
    <w:rsid w:val="75BB472E"/>
    <w:rsid w:val="77342685"/>
    <w:rsid w:val="774848A6"/>
    <w:rsid w:val="77901972"/>
    <w:rsid w:val="78340796"/>
    <w:rsid w:val="78C849A6"/>
    <w:rsid w:val="78CD4DCB"/>
    <w:rsid w:val="79492020"/>
    <w:rsid w:val="794C5FB4"/>
    <w:rsid w:val="79A732F3"/>
    <w:rsid w:val="7A6335B5"/>
    <w:rsid w:val="7A9A25A5"/>
    <w:rsid w:val="7B034CD0"/>
    <w:rsid w:val="7B0C1557"/>
    <w:rsid w:val="7B9B0B2D"/>
    <w:rsid w:val="7BBA5457"/>
    <w:rsid w:val="7BC9569A"/>
    <w:rsid w:val="7C1F350C"/>
    <w:rsid w:val="7CCD11BA"/>
    <w:rsid w:val="7D0B2BB6"/>
    <w:rsid w:val="7D0F41E5"/>
    <w:rsid w:val="7E3D70B4"/>
    <w:rsid w:val="7E8458A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adjustRightInd w:val="0"/>
      <w:spacing w:after="120" w:line="312" w:lineRule="atLeast"/>
      <w:textAlignment w:val="baseline"/>
    </w:pPr>
    <w:rPr>
      <w:kern w:val="0"/>
    </w:rPr>
  </w:style>
  <w:style w:type="paragraph" w:styleId="3">
    <w:name w:val="table of authorities"/>
    <w:basedOn w:val="1"/>
    <w:next w:val="1"/>
    <w:unhideWhenUsed/>
    <w:qFormat/>
    <w:uiPriority w:val="99"/>
    <w:pPr>
      <w:ind w:left="420" w:leftChars="200"/>
    </w:pPr>
  </w:style>
  <w:style w:type="paragraph" w:styleId="4">
    <w:name w:val="Body Text Indent"/>
    <w:basedOn w:val="1"/>
    <w:link w:val="21"/>
    <w:qFormat/>
    <w:uiPriority w:val="99"/>
    <w:pPr>
      <w:ind w:firstLine="600" w:firstLineChars="200"/>
    </w:pPr>
    <w:rPr>
      <w:rFonts w:eastAsia="仿宋_GB2312"/>
      <w:sz w:val="24"/>
      <w:szCs w:val="24"/>
    </w:rPr>
  </w:style>
  <w:style w:type="paragraph" w:styleId="5">
    <w:name w:val="Balloon Text"/>
    <w:basedOn w:val="1"/>
    <w:link w:val="24"/>
    <w:semiHidden/>
    <w:qFormat/>
    <w:uiPriority w:val="99"/>
    <w:rPr>
      <w:sz w:val="18"/>
      <w:szCs w:val="18"/>
    </w:rPr>
  </w:style>
  <w:style w:type="paragraph" w:styleId="6">
    <w:name w:val="footer"/>
    <w:basedOn w:val="1"/>
    <w:link w:val="16"/>
    <w:qFormat/>
    <w:uiPriority w:val="99"/>
    <w:pPr>
      <w:tabs>
        <w:tab w:val="center" w:pos="4153"/>
        <w:tab w:val="right" w:pos="8306"/>
      </w:tabs>
      <w:snapToGrid w:val="0"/>
      <w:jc w:val="left"/>
    </w:pPr>
    <w:rPr>
      <w:sz w:val="18"/>
      <w:szCs w:val="18"/>
    </w:rPr>
  </w:style>
  <w:style w:type="paragraph" w:styleId="7">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w:basedOn w:val="2"/>
    <w:next w:val="9"/>
    <w:qFormat/>
    <w:uiPriority w:val="0"/>
    <w:pPr>
      <w:spacing w:line="240" w:lineRule="auto"/>
      <w:ind w:firstLine="420" w:firstLineChars="100"/>
      <w:jc w:val="both"/>
    </w:pPr>
    <w:rPr>
      <w:rFonts w:ascii="Calibri" w:hAnsi="Calibri" w:cs="Times New Roman"/>
      <w:sz w:val="21"/>
      <w:szCs w:val="24"/>
    </w:rPr>
  </w:style>
  <w:style w:type="paragraph" w:styleId="9">
    <w:name w:val="Body Text First Indent 2"/>
    <w:qFormat/>
    <w:uiPriority w:val="0"/>
    <w:pPr>
      <w:widowControl w:val="0"/>
      <w:adjustRightInd w:val="0"/>
      <w:snapToGrid w:val="0"/>
      <w:spacing w:line="360" w:lineRule="auto"/>
      <w:ind w:left="0" w:leftChars="0" w:firstLine="420" w:firstLineChars="200"/>
      <w:jc w:val="both"/>
    </w:pPr>
    <w:rPr>
      <w:rFonts w:ascii="等线" w:hAnsi="等线" w:eastAsia="宋体" w:cs="Times New Roman"/>
      <w:kern w:val="2"/>
      <w:sz w:val="24"/>
      <w:szCs w:val="24"/>
      <w:lang w:val="en-US" w:eastAsia="zh-CN" w:bidi="ar-SA"/>
    </w:rPr>
  </w:style>
  <w:style w:type="table" w:styleId="11">
    <w:name w:val="Table Grid"/>
    <w:basedOn w:val="10"/>
    <w:semiHidden/>
    <w:unhideWhenUsed/>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99"/>
  </w:style>
  <w:style w:type="paragraph" w:customStyle="1" w:styleId="14">
    <w:name w:val="列出段落1"/>
    <w:basedOn w:val="1"/>
    <w:qFormat/>
    <w:uiPriority w:val="99"/>
    <w:pPr>
      <w:ind w:firstLine="420" w:firstLineChars="200"/>
    </w:pPr>
    <w:rPr>
      <w:rFonts w:ascii="Calibri" w:hAnsi="Calibri" w:cs="Calibri"/>
    </w:rPr>
  </w:style>
  <w:style w:type="paragraph" w:customStyle="1" w:styleId="15">
    <w:name w:val="样式 首行缩进:  2 字符"/>
    <w:basedOn w:val="1"/>
    <w:qFormat/>
    <w:uiPriority w:val="0"/>
    <w:pPr>
      <w:spacing w:line="360" w:lineRule="auto"/>
      <w:ind w:firstLine="480" w:firstLineChars="200"/>
      <w:jc w:val="left"/>
    </w:pPr>
    <w:rPr>
      <w:rFonts w:ascii="宋体" w:hAnsi="宋体" w:cs="宋体"/>
      <w:color w:val="000000"/>
      <w:sz w:val="24"/>
      <w:szCs w:val="20"/>
    </w:rPr>
  </w:style>
  <w:style w:type="character" w:customStyle="1" w:styleId="16">
    <w:name w:val="页脚 Char"/>
    <w:link w:val="6"/>
    <w:qFormat/>
    <w:locked/>
    <w:uiPriority w:val="99"/>
    <w:rPr>
      <w:kern w:val="2"/>
      <w:sz w:val="18"/>
      <w:szCs w:val="18"/>
    </w:rPr>
  </w:style>
  <w:style w:type="character" w:customStyle="1" w:styleId="17">
    <w:name w:val="页眉 Char"/>
    <w:link w:val="7"/>
    <w:semiHidden/>
    <w:qFormat/>
    <w:locked/>
    <w:uiPriority w:val="99"/>
    <w:rPr>
      <w:kern w:val="2"/>
      <w:sz w:val="18"/>
      <w:szCs w:val="18"/>
    </w:rPr>
  </w:style>
  <w:style w:type="character" w:customStyle="1" w:styleId="18">
    <w:name w:val="Footer Char1"/>
    <w:semiHidden/>
    <w:qFormat/>
    <w:uiPriority w:val="99"/>
    <w:rPr>
      <w:sz w:val="18"/>
      <w:szCs w:val="18"/>
    </w:rPr>
  </w:style>
  <w:style w:type="character" w:customStyle="1" w:styleId="19">
    <w:name w:val="Header Char1"/>
    <w:semiHidden/>
    <w:qFormat/>
    <w:uiPriority w:val="99"/>
    <w:rPr>
      <w:sz w:val="18"/>
      <w:szCs w:val="18"/>
    </w:rPr>
  </w:style>
  <w:style w:type="paragraph" w:customStyle="1" w:styleId="20">
    <w:name w:val="_Style 67"/>
    <w:basedOn w:val="1"/>
    <w:next w:val="1"/>
    <w:qFormat/>
    <w:uiPriority w:val="99"/>
    <w:pPr>
      <w:widowControl/>
      <w:spacing w:line="360" w:lineRule="auto"/>
      <w:ind w:firstLine="420" w:firstLineChars="200"/>
      <w:jc w:val="left"/>
    </w:pPr>
    <w:rPr>
      <w:rFonts w:ascii="Calibri" w:hAnsi="Calibri" w:eastAsia="微软雅黑" w:cs="Calibri"/>
      <w:sz w:val="24"/>
      <w:szCs w:val="24"/>
    </w:rPr>
  </w:style>
  <w:style w:type="character" w:customStyle="1" w:styleId="21">
    <w:name w:val="正文文本缩进 Char"/>
    <w:link w:val="4"/>
    <w:qFormat/>
    <w:locked/>
    <w:uiPriority w:val="99"/>
    <w:rPr>
      <w:rFonts w:eastAsia="仿宋_GB2312"/>
      <w:kern w:val="2"/>
      <w:sz w:val="24"/>
      <w:szCs w:val="24"/>
    </w:rPr>
  </w:style>
  <w:style w:type="character" w:customStyle="1" w:styleId="22">
    <w:name w:val="Body Text Indent Char1"/>
    <w:semiHidden/>
    <w:qFormat/>
    <w:uiPriority w:val="99"/>
    <w:rPr>
      <w:szCs w:val="21"/>
    </w:rPr>
  </w:style>
  <w:style w:type="character" w:customStyle="1" w:styleId="23">
    <w:name w:val="正文文本缩进 字符"/>
    <w:semiHidden/>
    <w:qFormat/>
    <w:uiPriority w:val="99"/>
    <w:rPr>
      <w:kern w:val="2"/>
      <w:sz w:val="24"/>
      <w:szCs w:val="24"/>
    </w:rPr>
  </w:style>
  <w:style w:type="character" w:customStyle="1" w:styleId="24">
    <w:name w:val="批注框文本 Char"/>
    <w:link w:val="5"/>
    <w:semiHidden/>
    <w:qFormat/>
    <w:locked/>
    <w:uiPriority w:val="99"/>
    <w:rPr>
      <w:kern w:val="2"/>
      <w:sz w:val="18"/>
      <w:szCs w:val="18"/>
    </w:rPr>
  </w:style>
  <w:style w:type="paragraph" w:customStyle="1" w:styleId="25">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771</Words>
  <Characters>1031</Characters>
  <Lines>25</Lines>
  <Paragraphs>7</Paragraphs>
  <TotalTime>6</TotalTime>
  <ScaleCrop>false</ScaleCrop>
  <LinksUpToDate>false</LinksUpToDate>
  <CharactersWithSpaces>1089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2019-12-18T07:49:00Z</dcterms:created>
  <dc:creator>Legend User</dc:creator>
  <cp:lastModifiedBy>掌心上的巴黎</cp:lastModifiedBy>
  <cp:lastPrinted>2020-08-24T03:42:00Z</cp:lastPrinted>
  <dcterms:modified xsi:type="dcterms:W3CDTF">2023-02-09T03:21:25Z</dcterms:modified>
  <dc:title>××产品质量监督抽查实施细则</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78787E96CFA54E8AB97B9E858BC7A09F</vt:lpwstr>
  </property>
</Properties>
</file>