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7"/>
        <w:numPr>
          <w:ilvl w:val="0"/>
          <w:numId w:val="0"/>
        </w:numPr>
        <w:ind w:leftChars="0" w:firstLine="640" w:firstLineChars="200"/>
        <w:jc w:val="left"/>
        <w:rPr>
          <w:rFonts w:hint="eastAsia" w:ascii="仿宋" w:hAnsi="仿宋" w:eastAsia="仿宋" w:cstheme="minorBidi"/>
          <w:color w:val="000000"/>
          <w:kern w:val="2"/>
          <w:sz w:val="32"/>
          <w:szCs w:val="32"/>
          <w:lang w:val="en-US" w:eastAsia="zh-CN" w:bidi="ar-SA"/>
        </w:rPr>
      </w:pPr>
    </w:p>
    <w:p>
      <w:pPr>
        <w:jc w:val="center"/>
        <w:rPr>
          <w:rFonts w:hint="eastAsia" w:ascii="宋体" w:hAnsi="宋体" w:eastAsia="宋体" w:cs="宋体"/>
          <w:b/>
          <w:sz w:val="72"/>
          <w:szCs w:val="72"/>
          <w:u w:val="none"/>
          <w:lang w:eastAsia="zh-CN"/>
        </w:rPr>
      </w:pPr>
      <w:r>
        <w:rPr>
          <w:rFonts w:hint="eastAsia" w:ascii="仿宋" w:hAnsi="仿宋" w:eastAsia="仿宋" w:cs="仿宋"/>
          <w:b/>
          <w:bCs/>
          <w:color w:val="000000"/>
          <w:sz w:val="72"/>
          <w:szCs w:val="72"/>
          <w:lang w:val="en-US" w:eastAsia="zh-CN"/>
        </w:rPr>
        <w:t>扎兰屯市市场监督管理局抽查实施方案</w:t>
      </w:r>
    </w:p>
    <w:p>
      <w:pPr>
        <w:jc w:val="center"/>
        <w:rPr>
          <w:rFonts w:hint="eastAsia" w:ascii="宋体" w:hAnsi="宋体" w:eastAsia="宋体" w:cs="宋体"/>
          <w:sz w:val="36"/>
          <w:szCs w:val="24"/>
          <w:lang w:val="en-US" w:eastAsia="zh-CN"/>
        </w:rPr>
      </w:pPr>
    </w:p>
    <w:p>
      <w:pPr>
        <w:jc w:val="center"/>
        <w:rPr>
          <w:rFonts w:hint="eastAsia" w:ascii="仿宋" w:hAnsi="仿宋" w:eastAsia="仿宋" w:cs="仿宋"/>
          <w:b/>
          <w:bCs w:val="0"/>
          <w:color w:val="000000"/>
          <w:sz w:val="44"/>
          <w:szCs w:val="44"/>
        </w:rPr>
      </w:pPr>
    </w:p>
    <w:p>
      <w:pPr>
        <w:pStyle w:val="3"/>
        <w:rPr>
          <w:rFonts w:hint="eastAsia"/>
        </w:rPr>
      </w:pPr>
    </w:p>
    <w:p>
      <w:pPr>
        <w:pStyle w:val="20"/>
        <w:rPr>
          <w:rFonts w:hint="eastAsia"/>
        </w:rPr>
      </w:pPr>
    </w:p>
    <w:p>
      <w:pPr>
        <w:jc w:val="center"/>
        <w:rPr>
          <w:rFonts w:hint="eastAsia" w:ascii="仿宋" w:hAnsi="仿宋" w:eastAsia="仿宋" w:cs="仿宋"/>
          <w:b/>
          <w:bCs w:val="0"/>
          <w:color w:val="000000"/>
          <w:sz w:val="44"/>
          <w:szCs w:val="44"/>
          <w:lang w:eastAsia="zh-CN"/>
        </w:rPr>
      </w:pPr>
    </w:p>
    <w:p>
      <w:pPr>
        <w:pStyle w:val="20"/>
        <w:ind w:left="0" w:leftChars="0" w:firstLine="0" w:firstLineChars="0"/>
        <w:rPr>
          <w:rFonts w:hint="eastAsia"/>
          <w:lang w:eastAsia="zh-CN"/>
        </w:rPr>
      </w:pPr>
    </w:p>
    <w:p>
      <w:pPr>
        <w:pStyle w:val="39"/>
        <w:rPr>
          <w:rFonts w:hint="eastAsia" w:ascii="仿宋" w:hAnsi="仿宋" w:eastAsia="仿宋" w:cs="仿宋"/>
          <w:b/>
          <w:bCs/>
          <w:color w:val="000000"/>
          <w:spacing w:val="10"/>
          <w:sz w:val="36"/>
          <w:szCs w:val="36"/>
          <w:lang w:val="en-US" w:eastAsia="zh-CN"/>
        </w:rPr>
      </w:pPr>
    </w:p>
    <w:p>
      <w:pPr>
        <w:pStyle w:val="40"/>
        <w:rPr>
          <w:rFonts w:hint="eastAsia" w:ascii="仿宋" w:hAnsi="仿宋" w:eastAsia="仿宋" w:cs="仿宋"/>
          <w:b/>
          <w:bCs/>
          <w:color w:val="000000"/>
          <w:spacing w:val="10"/>
          <w:sz w:val="36"/>
          <w:szCs w:val="36"/>
          <w:lang w:val="en-US" w:eastAsia="zh-CN"/>
        </w:rPr>
      </w:pPr>
    </w:p>
    <w:p>
      <w:pPr>
        <w:pStyle w:val="21"/>
        <w:rPr>
          <w:rFonts w:hint="eastAsia"/>
          <w:lang w:val="en-US" w:eastAsia="zh-CN"/>
        </w:rPr>
      </w:pPr>
    </w:p>
    <w:p>
      <w:pPr>
        <w:pStyle w:val="40"/>
        <w:rPr>
          <w:rFonts w:hint="eastAsia" w:ascii="仿宋" w:hAnsi="仿宋" w:eastAsia="仿宋" w:cs="仿宋"/>
          <w:b/>
          <w:bCs/>
          <w:color w:val="000000"/>
          <w:spacing w:val="10"/>
          <w:sz w:val="36"/>
          <w:szCs w:val="36"/>
          <w:lang w:val="en-US" w:eastAsia="zh-CN"/>
        </w:rPr>
      </w:pPr>
    </w:p>
    <w:p>
      <w:pPr>
        <w:jc w:val="left"/>
        <w:rPr>
          <w:rFonts w:hint="eastAsia" w:ascii="仿宋" w:hAnsi="仿宋" w:eastAsia="仿宋" w:cs="仿宋"/>
          <w:b/>
          <w:bCs/>
          <w:color w:val="000000"/>
          <w:sz w:val="36"/>
          <w:szCs w:val="36"/>
        </w:rPr>
      </w:pPr>
      <w:r>
        <w:rPr>
          <w:rFonts w:hint="eastAsia" w:ascii="仿宋" w:hAnsi="仿宋" w:eastAsia="仿宋" w:cs="仿宋"/>
          <w:b/>
          <w:color w:val="000000"/>
          <w:spacing w:val="20"/>
          <w:sz w:val="36"/>
          <w:szCs w:val="36"/>
        </w:rPr>
        <w:t>委托单位：</w:t>
      </w:r>
      <w:r>
        <w:rPr>
          <w:rFonts w:hint="eastAsia" w:ascii="仿宋" w:hAnsi="仿宋" w:eastAsia="仿宋" w:cs="仿宋"/>
          <w:b/>
          <w:color w:val="000000"/>
          <w:spacing w:val="20"/>
          <w:sz w:val="36"/>
          <w:szCs w:val="36"/>
          <w:lang w:eastAsia="zh-CN"/>
        </w:rPr>
        <w:t>扎兰屯市市场监督管理局</w:t>
      </w:r>
    </w:p>
    <w:p>
      <w:pPr>
        <w:pStyle w:val="21"/>
        <w:rPr>
          <w:rFonts w:hint="eastAsia" w:ascii="仿宋" w:hAnsi="仿宋" w:eastAsia="仿宋" w:cs="仿宋"/>
          <w:b/>
          <w:bCs/>
          <w:color w:val="000000"/>
          <w:spacing w:val="10"/>
          <w:sz w:val="36"/>
          <w:szCs w:val="36"/>
          <w:lang w:val="en-US" w:eastAsia="zh-CN"/>
        </w:rPr>
      </w:pPr>
    </w:p>
    <w:p>
      <w:pPr>
        <w:adjustRightInd w:val="0"/>
        <w:snapToGrid w:val="0"/>
        <w:spacing w:line="264" w:lineRule="auto"/>
        <w:jc w:val="left"/>
        <w:rPr>
          <w:rFonts w:hint="eastAsia" w:ascii="仿宋" w:hAnsi="仿宋" w:eastAsia="仿宋" w:cs="仿宋"/>
          <w:color w:val="000000"/>
          <w:sz w:val="36"/>
          <w:szCs w:val="36"/>
          <w:lang w:eastAsia="zh-CN"/>
        </w:rPr>
      </w:pPr>
      <w:r>
        <w:rPr>
          <w:rFonts w:hint="eastAsia" w:ascii="仿宋" w:hAnsi="仿宋" w:eastAsia="仿宋" w:cs="仿宋"/>
          <w:b/>
          <w:color w:val="000000"/>
          <w:spacing w:val="20"/>
          <w:sz w:val="36"/>
          <w:szCs w:val="36"/>
          <w:lang w:eastAsia="zh-CN"/>
        </w:rPr>
        <w:t>抽检</w:t>
      </w:r>
      <w:r>
        <w:rPr>
          <w:rFonts w:hint="eastAsia" w:ascii="仿宋" w:hAnsi="仿宋" w:eastAsia="仿宋" w:cs="仿宋"/>
          <w:b/>
          <w:color w:val="000000"/>
          <w:spacing w:val="20"/>
          <w:sz w:val="36"/>
          <w:szCs w:val="36"/>
        </w:rPr>
        <w:t>单位：</w:t>
      </w:r>
      <w:r>
        <w:rPr>
          <w:rFonts w:hint="eastAsia" w:ascii="仿宋" w:hAnsi="仿宋" w:eastAsia="仿宋" w:cs="仿宋"/>
          <w:b/>
          <w:color w:val="000000"/>
          <w:spacing w:val="20"/>
          <w:sz w:val="36"/>
          <w:szCs w:val="36"/>
          <w:lang w:eastAsia="zh-CN"/>
        </w:rPr>
        <w:t>山东精准产品质量检测有限公司</w:t>
      </w:r>
    </w:p>
    <w:p>
      <w:pPr>
        <w:wordWrap w:val="0"/>
        <w:jc w:val="both"/>
        <w:rPr>
          <w:rFonts w:hint="eastAsia" w:ascii="宋体" w:hAnsi="宋体" w:eastAsia="宋体" w:cs="宋体"/>
          <w:b/>
          <w:bCs/>
          <w:sz w:val="36"/>
          <w:szCs w:val="36"/>
          <w:lang w:val="en-US" w:eastAsia="zh-CN"/>
        </w:rPr>
      </w:pPr>
    </w:p>
    <w:p>
      <w:pPr>
        <w:pStyle w:val="3"/>
        <w:jc w:val="center"/>
        <w:rPr>
          <w:rFonts w:hint="eastAsia" w:ascii="宋体" w:hAnsi="宋体" w:eastAsia="宋体" w:cs="宋体"/>
          <w:b/>
          <w:bCs/>
          <w:sz w:val="36"/>
          <w:szCs w:val="36"/>
          <w:lang w:val="en-US" w:eastAsia="zh-CN"/>
        </w:rPr>
      </w:pPr>
    </w:p>
    <w:p>
      <w:pPr>
        <w:jc w:val="center"/>
        <w:rPr>
          <w:rFonts w:hint="eastAsia"/>
          <w:b/>
          <w:sz w:val="44"/>
          <w:szCs w:val="44"/>
          <w:lang w:val="en-US" w:eastAsia="zh-CN"/>
        </w:rPr>
        <w:sectPr>
          <w:pgSz w:w="11906" w:h="16838"/>
          <w:pgMar w:top="1440" w:right="1274" w:bottom="1440" w:left="1800" w:header="851" w:footer="992" w:gutter="0"/>
          <w:cols w:space="720" w:num="1"/>
          <w:docGrid w:type="lines" w:linePitch="312" w:charSpace="0"/>
        </w:sectPr>
      </w:pPr>
      <w:r>
        <w:rPr>
          <w:rFonts w:hint="eastAsia" w:ascii="仿宋" w:hAnsi="仿宋" w:eastAsia="仿宋" w:cs="仿宋"/>
          <w:b/>
          <w:bCs w:val="0"/>
          <w:color w:val="000000"/>
          <w:sz w:val="36"/>
          <w:szCs w:val="36"/>
        </w:rPr>
        <w:t>抽查时间：</w:t>
      </w:r>
      <w:r>
        <w:rPr>
          <w:rFonts w:hint="eastAsia" w:ascii="仿宋" w:hAnsi="仿宋" w:eastAsia="仿宋" w:cs="仿宋"/>
          <w:b/>
          <w:bCs w:val="0"/>
          <w:color w:val="000000"/>
          <w:spacing w:val="20"/>
          <w:sz w:val="36"/>
          <w:szCs w:val="36"/>
        </w:rPr>
        <w:t>二〇</w:t>
      </w:r>
      <w:r>
        <w:rPr>
          <w:rFonts w:hint="eastAsia" w:ascii="仿宋" w:hAnsi="仿宋" w:eastAsia="仿宋" w:cs="仿宋"/>
          <w:b/>
          <w:bCs w:val="0"/>
          <w:color w:val="000000"/>
          <w:spacing w:val="20"/>
          <w:sz w:val="36"/>
          <w:szCs w:val="36"/>
          <w:lang w:eastAsia="zh-CN"/>
        </w:rPr>
        <w:t>二三</w:t>
      </w:r>
      <w:r>
        <w:rPr>
          <w:rFonts w:hint="eastAsia" w:ascii="仿宋" w:hAnsi="仿宋" w:eastAsia="仿宋" w:cs="仿宋"/>
          <w:b/>
          <w:bCs w:val="0"/>
          <w:color w:val="000000"/>
          <w:spacing w:val="20"/>
          <w:sz w:val="36"/>
          <w:szCs w:val="36"/>
        </w:rPr>
        <w:t>年</w:t>
      </w:r>
    </w:p>
    <w:p>
      <w:pPr>
        <w:jc w:val="center"/>
        <w:outlineLvl w:val="0"/>
        <w:rPr>
          <w:b/>
          <w:sz w:val="44"/>
          <w:szCs w:val="44"/>
        </w:rPr>
      </w:pPr>
      <w:r>
        <w:rPr>
          <w:rFonts w:hint="eastAsia"/>
          <w:b/>
          <w:sz w:val="44"/>
          <w:szCs w:val="44"/>
          <w:lang w:val="en-US" w:eastAsia="zh-CN"/>
        </w:rPr>
        <w:t>2023</w:t>
      </w:r>
      <w:r>
        <w:rPr>
          <w:rFonts w:hint="eastAsia"/>
          <w:b/>
          <w:sz w:val="44"/>
          <w:szCs w:val="44"/>
        </w:rPr>
        <w:t>年</w:t>
      </w:r>
      <w:r>
        <w:rPr>
          <w:rFonts w:hint="eastAsia"/>
          <w:b/>
          <w:sz w:val="44"/>
          <w:szCs w:val="44"/>
          <w:lang w:eastAsia="zh-CN"/>
        </w:rPr>
        <w:t>扎兰屯市市场监督管理局产品质</w:t>
      </w:r>
      <w:r>
        <w:rPr>
          <w:rFonts w:hint="eastAsia"/>
          <w:b/>
          <w:sz w:val="44"/>
          <w:szCs w:val="44"/>
        </w:rPr>
        <w:t>量监督抽查实施方案</w:t>
      </w:r>
    </w:p>
    <w:p>
      <w:pPr>
        <w:autoSpaceDE w:val="0"/>
        <w:autoSpaceDN w:val="0"/>
        <w:adjustRightInd w:val="0"/>
        <w:ind w:firstLine="640" w:firstLineChars="200"/>
        <w:jc w:val="left"/>
        <w:rPr>
          <w:rFonts w:ascii="仿宋" w:hAnsi="仿宋" w:eastAsia="仿宋"/>
          <w:sz w:val="32"/>
          <w:szCs w:val="32"/>
        </w:rPr>
      </w:pPr>
    </w:p>
    <w:p>
      <w:pPr>
        <w:autoSpaceDE w:val="0"/>
        <w:autoSpaceDN w:val="0"/>
        <w:adjustRightInd w:val="0"/>
        <w:ind w:firstLine="640" w:firstLineChars="200"/>
        <w:jc w:val="left"/>
        <w:rPr>
          <w:rFonts w:hint="eastAsia" w:ascii="仿宋" w:hAnsi="仿宋" w:eastAsia="仿宋" w:cs="仿宋"/>
          <w:color w:val="000000"/>
          <w:sz w:val="32"/>
          <w:szCs w:val="32"/>
        </w:rPr>
      </w:pPr>
      <w:r>
        <w:rPr>
          <w:rFonts w:hint="eastAsia" w:ascii="仿宋" w:hAnsi="仿宋" w:eastAsia="仿宋"/>
          <w:color w:val="000000"/>
          <w:sz w:val="32"/>
          <w:szCs w:val="32"/>
        </w:rPr>
        <w:t>为提高产品质量安全监管效能，预防化解产品质量领域重大风险，保障人民群众人身财产安全，着力营造公平竞争的市场环境和安全放心的消费环境，</w:t>
      </w:r>
      <w:r>
        <w:rPr>
          <w:rFonts w:hint="eastAsia" w:ascii="仿宋" w:hAnsi="仿宋" w:eastAsia="仿宋"/>
          <w:color w:val="000000"/>
          <w:sz w:val="32"/>
          <w:szCs w:val="32"/>
          <w:lang w:eastAsia="zh-CN"/>
        </w:rPr>
        <w:t>扎兰屯市市场监督管理局</w:t>
      </w:r>
      <w:r>
        <w:rPr>
          <w:rFonts w:hint="eastAsia" w:ascii="仿宋" w:hAnsi="仿宋" w:eastAsia="仿宋"/>
          <w:color w:val="000000"/>
          <w:sz w:val="32"/>
          <w:szCs w:val="32"/>
        </w:rPr>
        <w:t>拟于</w:t>
      </w:r>
      <w:r>
        <w:rPr>
          <w:rFonts w:hint="eastAsia" w:ascii="仿宋" w:hAnsi="仿宋" w:eastAsia="仿宋"/>
          <w:color w:val="000000"/>
          <w:sz w:val="32"/>
          <w:szCs w:val="32"/>
          <w:lang w:val="en-US" w:eastAsia="zh-CN"/>
        </w:rPr>
        <w:t>2023</w:t>
      </w:r>
      <w:r>
        <w:rPr>
          <w:rFonts w:hint="eastAsia" w:ascii="仿宋" w:hAnsi="仿宋" w:eastAsia="仿宋" w:cs="仿宋"/>
          <w:color w:val="000000"/>
          <w:sz w:val="32"/>
          <w:szCs w:val="32"/>
        </w:rPr>
        <w:t>年组织开展</w:t>
      </w:r>
      <w:r>
        <w:rPr>
          <w:rFonts w:hint="eastAsia" w:ascii="仿宋" w:hAnsi="仿宋" w:eastAsia="仿宋" w:cs="仿宋"/>
          <w:b w:val="0"/>
          <w:bCs/>
          <w:spacing w:val="20"/>
          <w:sz w:val="32"/>
          <w:szCs w:val="32"/>
          <w:highlight w:val="none"/>
          <w:lang w:val="en-US" w:eastAsia="zh-CN"/>
        </w:rPr>
        <w:t>成品油、大气污染相关产品、煤炭、眼镜类产品、儿童玩具、塑料制品、食品相关制品、液化石油气、农资、黄金珠宝贵金属、消防产品、学生文具、日用品、生活用纸、纸尿裤（婴儿）、电动车电池、机油</w:t>
      </w:r>
      <w:r>
        <w:rPr>
          <w:rFonts w:hint="eastAsia" w:ascii="仿宋" w:hAnsi="仿宋" w:eastAsia="仿宋" w:cs="仿宋"/>
          <w:color w:val="000000"/>
          <w:sz w:val="32"/>
          <w:szCs w:val="32"/>
          <w:lang w:eastAsia="zh-CN"/>
        </w:rPr>
        <w:t>等</w:t>
      </w:r>
      <w:r>
        <w:rPr>
          <w:rFonts w:hint="eastAsia" w:ascii="仿宋" w:hAnsi="仿宋" w:eastAsia="仿宋" w:cs="仿宋"/>
          <w:color w:val="000000"/>
          <w:sz w:val="32"/>
          <w:szCs w:val="32"/>
        </w:rPr>
        <w:t>产品质量监督抽查，特制定方案如下。</w:t>
      </w:r>
    </w:p>
    <w:p>
      <w:pPr>
        <w:widowControl/>
        <w:tabs>
          <w:tab w:val="left" w:pos="720"/>
        </w:tabs>
        <w:adjustRightInd w:val="0"/>
        <w:spacing w:line="560" w:lineRule="exact"/>
        <w:jc w:val="left"/>
        <w:outlineLvl w:val="0"/>
        <w:rPr>
          <w:rFonts w:ascii="黑体" w:hAnsi="黑体" w:eastAsia="黑体"/>
          <w:b/>
          <w:color w:val="000000"/>
          <w:sz w:val="32"/>
          <w:szCs w:val="32"/>
        </w:rPr>
      </w:pPr>
      <w:r>
        <w:rPr>
          <w:rFonts w:hint="eastAsia" w:ascii="黑体" w:hAnsi="黑体" w:eastAsia="黑体"/>
          <w:b/>
          <w:color w:val="000000"/>
          <w:sz w:val="32"/>
          <w:szCs w:val="32"/>
        </w:rPr>
        <w:t>一、抽检品种及分类</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本次监督抽查的品种</w:t>
      </w:r>
      <w:r>
        <w:rPr>
          <w:rFonts w:hint="eastAsia" w:ascii="仿宋" w:hAnsi="仿宋" w:eastAsia="仿宋" w:cs="仿宋"/>
          <w:color w:val="000000"/>
          <w:sz w:val="32"/>
          <w:szCs w:val="32"/>
          <w:lang w:eastAsia="zh-CN"/>
        </w:rPr>
        <w:t>为</w:t>
      </w:r>
      <w:r>
        <w:rPr>
          <w:rFonts w:hint="eastAsia" w:ascii="仿宋" w:hAnsi="仿宋" w:eastAsia="仿宋" w:cs="仿宋"/>
          <w:b w:val="0"/>
          <w:bCs/>
          <w:spacing w:val="20"/>
          <w:sz w:val="32"/>
          <w:szCs w:val="32"/>
          <w:highlight w:val="none"/>
          <w:lang w:val="en-US" w:eastAsia="zh-CN"/>
        </w:rPr>
        <w:t>成品油、大气污染相关产品、煤炭、眼镜类产品、儿童玩具、塑料制品、食品相关制品、液化石油气、农资、黄金珠宝贵金属、消防产品、学生文具、日用品、生活用纸、纸尿裤（婴儿）、电动车电池、机油</w:t>
      </w:r>
      <w:r>
        <w:rPr>
          <w:rFonts w:hint="eastAsia" w:ascii="仿宋" w:hAnsi="仿宋" w:eastAsia="仿宋" w:cs="仿宋"/>
          <w:color w:val="000000"/>
          <w:sz w:val="32"/>
          <w:szCs w:val="32"/>
          <w:lang w:eastAsia="zh-CN"/>
        </w:rPr>
        <w:t>等</w:t>
      </w:r>
      <w:r>
        <w:rPr>
          <w:rFonts w:hint="eastAsia" w:ascii="仿宋" w:hAnsi="仿宋" w:eastAsia="仿宋" w:cs="仿宋"/>
          <w:color w:val="000000"/>
          <w:sz w:val="32"/>
          <w:szCs w:val="32"/>
        </w:rPr>
        <w:t>产品</w:t>
      </w:r>
      <w:r>
        <w:rPr>
          <w:rFonts w:hint="eastAsia" w:ascii="仿宋" w:hAnsi="仿宋" w:eastAsia="仿宋" w:cs="仿宋"/>
          <w:color w:val="000000"/>
          <w:sz w:val="32"/>
          <w:szCs w:val="32"/>
          <w:highlight w:val="none"/>
          <w:lang w:val="en-US" w:eastAsia="zh-CN"/>
        </w:rPr>
        <w:t>17</w:t>
      </w:r>
      <w:r>
        <w:rPr>
          <w:rFonts w:hint="eastAsia" w:ascii="仿宋" w:hAnsi="仿宋" w:eastAsia="仿宋" w:cs="仿宋"/>
          <w:sz w:val="32"/>
          <w:szCs w:val="32"/>
        </w:rPr>
        <w:t>个品种。</w:t>
      </w:r>
    </w:p>
    <w:p>
      <w:pPr>
        <w:widowControl/>
        <w:tabs>
          <w:tab w:val="left" w:pos="720"/>
        </w:tabs>
        <w:adjustRightInd w:val="0"/>
        <w:spacing w:line="560" w:lineRule="exact"/>
        <w:jc w:val="left"/>
        <w:outlineLvl w:val="0"/>
        <w:rPr>
          <w:rFonts w:ascii="黑体" w:hAnsi="黑体" w:eastAsia="黑体"/>
          <w:b/>
          <w:color w:val="000000"/>
          <w:sz w:val="32"/>
          <w:szCs w:val="32"/>
        </w:rPr>
      </w:pPr>
      <w:r>
        <w:rPr>
          <w:rFonts w:hint="eastAsia" w:ascii="黑体" w:hAnsi="黑体" w:eastAsia="黑体"/>
          <w:b/>
          <w:color w:val="000000"/>
          <w:sz w:val="32"/>
          <w:szCs w:val="32"/>
          <w:lang w:eastAsia="zh-CN"/>
        </w:rPr>
        <w:t>二</w:t>
      </w:r>
      <w:r>
        <w:rPr>
          <w:rFonts w:hint="eastAsia" w:ascii="黑体" w:hAnsi="黑体" w:eastAsia="黑体"/>
          <w:b/>
          <w:color w:val="000000"/>
          <w:sz w:val="32"/>
          <w:szCs w:val="32"/>
        </w:rPr>
        <w:t>、抽样地点及场所</w:t>
      </w:r>
    </w:p>
    <w:p>
      <w:pPr>
        <w:topLinePunct/>
        <w:adjustRightInd w:val="0"/>
        <w:ind w:firstLine="640" w:firstLineChars="200"/>
        <w:rPr>
          <w:rFonts w:ascii="仿宋" w:hAnsi="仿宋" w:eastAsia="仿宋"/>
          <w:color w:val="000000"/>
          <w:sz w:val="32"/>
          <w:szCs w:val="32"/>
        </w:rPr>
      </w:pPr>
      <w:r>
        <w:rPr>
          <w:rFonts w:hint="eastAsia" w:ascii="仿宋" w:hAnsi="仿宋" w:eastAsia="仿宋"/>
          <w:color w:val="000000"/>
          <w:sz w:val="32"/>
          <w:szCs w:val="32"/>
        </w:rPr>
        <w:t>本次抽样地点</w:t>
      </w:r>
      <w:r>
        <w:rPr>
          <w:rFonts w:hint="eastAsia" w:ascii="仿宋" w:hAnsi="仿宋" w:eastAsia="仿宋"/>
          <w:color w:val="000000"/>
          <w:sz w:val="32"/>
          <w:szCs w:val="32"/>
          <w:lang w:eastAsia="zh-CN"/>
        </w:rPr>
        <w:t>为扎兰屯市市场监督管理局所辖区域内。</w:t>
      </w:r>
    </w:p>
    <w:p>
      <w:pPr>
        <w:widowControl/>
        <w:tabs>
          <w:tab w:val="left" w:pos="720"/>
        </w:tabs>
        <w:adjustRightInd w:val="0"/>
        <w:spacing w:line="560" w:lineRule="exact"/>
        <w:jc w:val="left"/>
        <w:outlineLvl w:val="0"/>
        <w:rPr>
          <w:rFonts w:ascii="黑体" w:hAnsi="黑体" w:eastAsia="黑体"/>
          <w:b/>
          <w:color w:val="000000"/>
          <w:sz w:val="32"/>
          <w:szCs w:val="32"/>
        </w:rPr>
      </w:pPr>
      <w:r>
        <w:rPr>
          <w:rFonts w:hint="eastAsia" w:ascii="黑体" w:hAnsi="黑体" w:eastAsia="黑体"/>
          <w:b/>
          <w:color w:val="000000"/>
          <w:sz w:val="32"/>
          <w:szCs w:val="32"/>
          <w:lang w:eastAsia="zh-CN"/>
        </w:rPr>
        <w:t>三</w:t>
      </w:r>
      <w:r>
        <w:rPr>
          <w:rFonts w:hint="eastAsia" w:ascii="黑体" w:hAnsi="黑体" w:eastAsia="黑体"/>
          <w:b/>
          <w:color w:val="000000"/>
          <w:sz w:val="32"/>
          <w:szCs w:val="32"/>
        </w:rPr>
        <w:t>、抽样方法</w:t>
      </w:r>
    </w:p>
    <w:p>
      <w:pPr>
        <w:autoSpaceDE w:val="0"/>
        <w:autoSpaceDN w:val="0"/>
        <w:adjustRightInd w:val="0"/>
        <w:ind w:firstLine="640" w:firstLineChars="200"/>
        <w:jc w:val="left"/>
        <w:rPr>
          <w:rFonts w:hint="eastAsia" w:ascii="仿宋" w:hAnsi="仿宋" w:eastAsia="仿宋"/>
          <w:color w:val="000000"/>
          <w:sz w:val="32"/>
          <w:szCs w:val="32"/>
          <w:lang w:val="en-US" w:eastAsia="zh-CN"/>
        </w:rPr>
      </w:pPr>
      <w:r>
        <w:rPr>
          <w:rFonts w:hint="eastAsia" w:ascii="仿宋" w:hAnsi="仿宋" w:eastAsia="仿宋"/>
          <w:color w:val="000000"/>
          <w:sz w:val="32"/>
          <w:szCs w:val="32"/>
        </w:rPr>
        <w:t>在市场上，随机抽取同一品牌、同一生产厂家、同一规格型号、同一批次的，并有产品质量检验合格证明或者以其他形式表明合格的产品。抽样基数应不少于抽取样品量，备份样品封存于销售者处。</w:t>
      </w:r>
      <w:r>
        <w:rPr>
          <w:rFonts w:hint="eastAsia" w:ascii="仿宋" w:hAnsi="仿宋" w:eastAsia="仿宋"/>
          <w:color w:val="000000"/>
          <w:sz w:val="32"/>
          <w:szCs w:val="32"/>
          <w:lang w:eastAsia="zh-CN"/>
        </w:rPr>
        <w:t>每批次产品抽样数量见表</w:t>
      </w:r>
      <w:r>
        <w:rPr>
          <w:rFonts w:hint="eastAsia" w:ascii="仿宋" w:hAnsi="仿宋" w:eastAsia="仿宋"/>
          <w:color w:val="000000"/>
          <w:sz w:val="32"/>
          <w:szCs w:val="32"/>
          <w:lang w:val="en-US" w:eastAsia="zh-CN"/>
        </w:rPr>
        <w:t>1。</w:t>
      </w:r>
    </w:p>
    <w:p>
      <w:pPr>
        <w:pStyle w:val="7"/>
        <w:jc w:val="center"/>
        <w:rPr>
          <w:rFonts w:hint="eastAsia" w:ascii="仿宋" w:hAnsi="仿宋" w:eastAsia="仿宋"/>
          <w:color w:val="000000"/>
          <w:sz w:val="32"/>
          <w:szCs w:val="32"/>
          <w:lang w:val="en-US" w:eastAsia="zh-CN"/>
        </w:rPr>
      </w:pPr>
      <w:r>
        <w:rPr>
          <w:rFonts w:hint="eastAsia" w:ascii="仿宋" w:hAnsi="仿宋" w:eastAsia="仿宋"/>
          <w:color w:val="000000"/>
          <w:sz w:val="32"/>
          <w:szCs w:val="32"/>
          <w:lang w:val="en-US" w:eastAsia="zh-CN"/>
        </w:rPr>
        <w:t>表1 各产品抽样数量</w:t>
      </w:r>
    </w:p>
    <w:tbl>
      <w:tblPr>
        <w:tblStyle w:val="23"/>
        <w:tblW w:w="8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1"/>
        <w:gridCol w:w="3815"/>
        <w:gridCol w:w="1470"/>
        <w:gridCol w:w="1470"/>
        <w:gridCol w:w="1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91" w:type="dxa"/>
            <w:noWrap w:val="0"/>
            <w:vAlign w:val="center"/>
          </w:tcPr>
          <w:p>
            <w:pPr>
              <w:adjustRightInd w:val="0"/>
              <w:snapToGrid w:val="0"/>
              <w:spacing w:line="44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序号</w:t>
            </w:r>
          </w:p>
        </w:tc>
        <w:tc>
          <w:tcPr>
            <w:tcW w:w="3815" w:type="dxa"/>
            <w:noWrap w:val="0"/>
            <w:vAlign w:val="center"/>
          </w:tcPr>
          <w:p>
            <w:pPr>
              <w:adjustRightInd w:val="0"/>
              <w:snapToGrid w:val="0"/>
              <w:spacing w:line="44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产品名称</w:t>
            </w:r>
          </w:p>
        </w:tc>
        <w:tc>
          <w:tcPr>
            <w:tcW w:w="1470" w:type="dxa"/>
            <w:noWrap w:val="0"/>
            <w:vAlign w:val="center"/>
          </w:tcPr>
          <w:p>
            <w:pPr>
              <w:adjustRightInd w:val="0"/>
              <w:snapToGrid w:val="0"/>
              <w:spacing w:line="44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抽样数量</w:t>
            </w:r>
          </w:p>
        </w:tc>
        <w:tc>
          <w:tcPr>
            <w:tcW w:w="1470" w:type="dxa"/>
            <w:noWrap w:val="0"/>
            <w:vAlign w:val="center"/>
          </w:tcPr>
          <w:p>
            <w:pPr>
              <w:adjustRightInd w:val="0"/>
              <w:snapToGrid w:val="0"/>
              <w:spacing w:line="44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检样数量</w:t>
            </w:r>
          </w:p>
        </w:tc>
        <w:tc>
          <w:tcPr>
            <w:tcW w:w="1299" w:type="dxa"/>
            <w:noWrap w:val="0"/>
            <w:vAlign w:val="center"/>
          </w:tcPr>
          <w:p>
            <w:pPr>
              <w:adjustRightInd w:val="0"/>
              <w:snapToGrid w:val="0"/>
              <w:spacing w:line="44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备样数量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noWrap w:val="0"/>
            <w:vAlign w:val="center"/>
          </w:tcPr>
          <w:p>
            <w:pPr>
              <w:adjustRightInd w:val="0"/>
              <w:snapToGrid w:val="0"/>
              <w:spacing w:line="44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w:t>
            </w:r>
          </w:p>
        </w:tc>
        <w:tc>
          <w:tcPr>
            <w:tcW w:w="3815" w:type="dxa"/>
            <w:noWrap w:val="0"/>
            <w:vAlign w:val="center"/>
          </w:tcPr>
          <w:p>
            <w:pPr>
              <w:adjustRightInd w:val="0"/>
              <w:snapToGrid w:val="0"/>
              <w:spacing w:line="440" w:lineRule="exact"/>
              <w:jc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车用汽油</w:t>
            </w:r>
          </w:p>
        </w:tc>
        <w:tc>
          <w:tcPr>
            <w:tcW w:w="1470" w:type="dxa"/>
            <w:noWrap w:val="0"/>
            <w:vAlign w:val="center"/>
          </w:tcPr>
          <w:p>
            <w:pPr>
              <w:adjustRightInd w:val="0"/>
              <w:snapToGrid w:val="0"/>
              <w:spacing w:line="440" w:lineRule="exact"/>
              <w:jc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auto"/>
                <w:sz w:val="24"/>
                <w:szCs w:val="24"/>
                <w:highlight w:val="none"/>
                <w:lang w:val="en-US" w:eastAsia="zh-CN"/>
              </w:rPr>
              <w:t>4L</w:t>
            </w:r>
          </w:p>
        </w:tc>
        <w:tc>
          <w:tcPr>
            <w:tcW w:w="1470" w:type="dxa"/>
            <w:noWrap w:val="0"/>
            <w:vAlign w:val="center"/>
          </w:tcPr>
          <w:p>
            <w:pPr>
              <w:adjustRightInd w:val="0"/>
              <w:snapToGrid w:val="0"/>
              <w:spacing w:line="440" w:lineRule="exact"/>
              <w:jc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auto"/>
                <w:sz w:val="24"/>
                <w:szCs w:val="24"/>
                <w:highlight w:val="none"/>
                <w:lang w:val="en-US" w:eastAsia="zh-CN"/>
              </w:rPr>
              <w:t>2L</w:t>
            </w:r>
          </w:p>
        </w:tc>
        <w:tc>
          <w:tcPr>
            <w:tcW w:w="1299" w:type="dxa"/>
            <w:noWrap w:val="0"/>
            <w:vAlign w:val="center"/>
          </w:tcPr>
          <w:p>
            <w:pPr>
              <w:adjustRightInd w:val="0"/>
              <w:snapToGrid w:val="0"/>
              <w:spacing w:line="440" w:lineRule="exact"/>
              <w:jc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auto"/>
                <w:sz w:val="24"/>
                <w:szCs w:val="24"/>
                <w:highlight w:val="none"/>
                <w:lang w:val="en-US" w:eastAsia="zh-CN"/>
              </w:rPr>
              <w:t>2L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noWrap w:val="0"/>
            <w:vAlign w:val="center"/>
          </w:tcPr>
          <w:p>
            <w:pPr>
              <w:adjustRightInd w:val="0"/>
              <w:snapToGrid w:val="0"/>
              <w:spacing w:line="44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w:t>
            </w:r>
          </w:p>
        </w:tc>
        <w:tc>
          <w:tcPr>
            <w:tcW w:w="3815" w:type="dxa"/>
            <w:noWrap w:val="0"/>
            <w:vAlign w:val="center"/>
          </w:tcPr>
          <w:p>
            <w:pPr>
              <w:adjustRightInd w:val="0"/>
              <w:snapToGrid w:val="0"/>
              <w:spacing w:line="440" w:lineRule="exact"/>
              <w:jc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车用柴油</w:t>
            </w:r>
          </w:p>
        </w:tc>
        <w:tc>
          <w:tcPr>
            <w:tcW w:w="1470" w:type="dxa"/>
            <w:noWrap w:val="0"/>
            <w:vAlign w:val="center"/>
          </w:tcPr>
          <w:p>
            <w:pPr>
              <w:adjustRightInd w:val="0"/>
              <w:snapToGrid w:val="0"/>
              <w:spacing w:line="440" w:lineRule="exact"/>
              <w:jc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auto"/>
                <w:sz w:val="24"/>
                <w:szCs w:val="24"/>
                <w:highlight w:val="none"/>
                <w:lang w:val="en-US" w:eastAsia="zh-CN"/>
              </w:rPr>
              <w:t>4L</w:t>
            </w:r>
          </w:p>
        </w:tc>
        <w:tc>
          <w:tcPr>
            <w:tcW w:w="1470" w:type="dxa"/>
            <w:noWrap w:val="0"/>
            <w:vAlign w:val="center"/>
          </w:tcPr>
          <w:p>
            <w:pPr>
              <w:adjustRightInd w:val="0"/>
              <w:snapToGrid w:val="0"/>
              <w:spacing w:line="440" w:lineRule="exact"/>
              <w:jc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auto"/>
                <w:sz w:val="24"/>
                <w:szCs w:val="24"/>
                <w:highlight w:val="none"/>
                <w:lang w:val="en-US" w:eastAsia="zh-CN"/>
              </w:rPr>
              <w:t>2L</w:t>
            </w:r>
          </w:p>
        </w:tc>
        <w:tc>
          <w:tcPr>
            <w:tcW w:w="1299" w:type="dxa"/>
            <w:noWrap w:val="0"/>
            <w:vAlign w:val="center"/>
          </w:tcPr>
          <w:p>
            <w:pPr>
              <w:adjustRightInd w:val="0"/>
              <w:snapToGrid w:val="0"/>
              <w:spacing w:line="440" w:lineRule="exact"/>
              <w:jc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auto"/>
                <w:sz w:val="24"/>
                <w:szCs w:val="24"/>
                <w:highlight w:val="none"/>
                <w:lang w:val="en-US" w:eastAsia="zh-CN"/>
              </w:rPr>
              <w:t>2L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noWrap w:val="0"/>
            <w:vAlign w:val="center"/>
          </w:tcPr>
          <w:p>
            <w:pPr>
              <w:adjustRightInd w:val="0"/>
              <w:snapToGrid w:val="0"/>
              <w:spacing w:line="44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w:t>
            </w:r>
          </w:p>
        </w:tc>
        <w:tc>
          <w:tcPr>
            <w:tcW w:w="3815" w:type="dxa"/>
            <w:noWrap w:val="0"/>
            <w:vAlign w:val="center"/>
          </w:tcPr>
          <w:p>
            <w:pPr>
              <w:keepNext w:val="0"/>
              <w:keepLines w:val="0"/>
              <w:widowControl/>
              <w:suppressLineNumbers w:val="0"/>
              <w:jc w:val="center"/>
              <w:textAlignment w:val="center"/>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lang w:eastAsia="zh-CN"/>
              </w:rPr>
              <w:t>车用尿素</w:t>
            </w:r>
          </w:p>
        </w:tc>
        <w:tc>
          <w:tcPr>
            <w:tcW w:w="1470" w:type="dxa"/>
            <w:noWrap w:val="0"/>
            <w:vAlign w:val="center"/>
          </w:tcPr>
          <w:p>
            <w:pPr>
              <w:keepNext w:val="0"/>
              <w:keepLines w:val="0"/>
              <w:widowControl/>
              <w:suppressLineNumbers w:val="0"/>
              <w:jc w:val="center"/>
              <w:textAlignment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eastAsia="zh-CN"/>
              </w:rPr>
              <w:t>2L独立包装样品2份</w:t>
            </w:r>
          </w:p>
        </w:tc>
        <w:tc>
          <w:tcPr>
            <w:tcW w:w="1470" w:type="dxa"/>
            <w:noWrap w:val="0"/>
            <w:vAlign w:val="center"/>
          </w:tcPr>
          <w:p>
            <w:pPr>
              <w:keepNext w:val="0"/>
              <w:keepLines w:val="0"/>
              <w:widowControl/>
              <w:suppressLineNumbers w:val="0"/>
              <w:jc w:val="center"/>
              <w:textAlignment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1份</w:t>
            </w:r>
          </w:p>
        </w:tc>
        <w:tc>
          <w:tcPr>
            <w:tcW w:w="1299" w:type="dxa"/>
            <w:noWrap w:val="0"/>
            <w:vAlign w:val="center"/>
          </w:tcPr>
          <w:p>
            <w:pPr>
              <w:keepNext w:val="0"/>
              <w:keepLines w:val="0"/>
              <w:widowControl/>
              <w:suppressLineNumbers w:val="0"/>
              <w:jc w:val="center"/>
              <w:textAlignment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noWrap w:val="0"/>
            <w:vAlign w:val="center"/>
          </w:tcPr>
          <w:p>
            <w:pPr>
              <w:adjustRightInd w:val="0"/>
              <w:snapToGrid w:val="0"/>
              <w:spacing w:line="44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4</w:t>
            </w:r>
          </w:p>
        </w:tc>
        <w:tc>
          <w:tcPr>
            <w:tcW w:w="3815" w:type="dxa"/>
            <w:noWrap w:val="0"/>
            <w:vAlign w:val="center"/>
          </w:tcPr>
          <w:p>
            <w:pPr>
              <w:keepNext w:val="0"/>
              <w:keepLines w:val="0"/>
              <w:widowControl/>
              <w:suppressLineNumbers w:val="0"/>
              <w:jc w:val="center"/>
              <w:textAlignment w:val="center"/>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lang w:eastAsia="zh-CN"/>
              </w:rPr>
              <w:t>褐煤</w:t>
            </w:r>
          </w:p>
        </w:tc>
        <w:tc>
          <w:tcPr>
            <w:tcW w:w="1470" w:type="dxa"/>
            <w:noWrap w:val="0"/>
            <w:vAlign w:val="center"/>
          </w:tcPr>
          <w:p>
            <w:pPr>
              <w:keepNext w:val="0"/>
              <w:keepLines w:val="0"/>
              <w:widowControl/>
              <w:suppressLineNumbers w:val="0"/>
              <w:jc w:val="center"/>
              <w:textAlignment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rPr>
              <w:t>1</w:t>
            </w:r>
            <w:r>
              <w:rPr>
                <w:rFonts w:hint="eastAsia" w:ascii="仿宋" w:hAnsi="仿宋" w:eastAsia="仿宋" w:cs="仿宋"/>
                <w:color w:val="000000"/>
                <w:sz w:val="24"/>
                <w:szCs w:val="24"/>
                <w:lang w:val="en-US" w:eastAsia="zh-CN"/>
              </w:rPr>
              <w:t>2</w:t>
            </w:r>
            <w:r>
              <w:rPr>
                <w:rFonts w:hint="eastAsia" w:ascii="仿宋" w:hAnsi="仿宋" w:eastAsia="仿宋" w:cs="仿宋"/>
                <w:color w:val="000000"/>
                <w:sz w:val="24"/>
                <w:szCs w:val="24"/>
              </w:rPr>
              <w:t>kg</w:t>
            </w:r>
          </w:p>
        </w:tc>
        <w:tc>
          <w:tcPr>
            <w:tcW w:w="1470" w:type="dxa"/>
            <w:noWrap w:val="0"/>
            <w:vAlign w:val="center"/>
          </w:tcPr>
          <w:p>
            <w:pPr>
              <w:keepNext w:val="0"/>
              <w:keepLines w:val="0"/>
              <w:widowControl/>
              <w:suppressLineNumbers w:val="0"/>
              <w:jc w:val="center"/>
              <w:textAlignment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lang w:val="en-US" w:eastAsia="zh-CN"/>
              </w:rPr>
              <w:t>6kg</w:t>
            </w:r>
          </w:p>
        </w:tc>
        <w:tc>
          <w:tcPr>
            <w:tcW w:w="1299" w:type="dxa"/>
            <w:noWrap w:val="0"/>
            <w:vAlign w:val="center"/>
          </w:tcPr>
          <w:p>
            <w:pPr>
              <w:keepNext w:val="0"/>
              <w:keepLines w:val="0"/>
              <w:widowControl/>
              <w:suppressLineNumbers w:val="0"/>
              <w:jc w:val="center"/>
              <w:textAlignment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lang w:val="en-US" w:eastAsia="zh-CN"/>
              </w:rPr>
              <w:t>6kg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noWrap w:val="0"/>
            <w:vAlign w:val="center"/>
          </w:tcPr>
          <w:p>
            <w:pPr>
              <w:adjustRightInd w:val="0"/>
              <w:snapToGrid w:val="0"/>
              <w:spacing w:line="44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5</w:t>
            </w:r>
          </w:p>
        </w:tc>
        <w:tc>
          <w:tcPr>
            <w:tcW w:w="3815" w:type="dxa"/>
            <w:noWrap w:val="0"/>
            <w:vAlign w:val="center"/>
          </w:tcPr>
          <w:p>
            <w:pPr>
              <w:keepNext w:val="0"/>
              <w:keepLines w:val="0"/>
              <w:widowControl/>
              <w:suppressLineNumbers w:val="0"/>
              <w:jc w:val="center"/>
              <w:textAlignment w:val="center"/>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lang w:eastAsia="zh-CN"/>
              </w:rPr>
              <w:t>老视成镜</w:t>
            </w:r>
          </w:p>
        </w:tc>
        <w:tc>
          <w:tcPr>
            <w:tcW w:w="1470" w:type="dxa"/>
            <w:noWrap w:val="0"/>
            <w:vAlign w:val="center"/>
          </w:tcPr>
          <w:p>
            <w:pPr>
              <w:keepNext w:val="0"/>
              <w:keepLines w:val="0"/>
              <w:widowControl/>
              <w:suppressLineNumbers w:val="0"/>
              <w:jc w:val="center"/>
              <w:textAlignment w:val="center"/>
              <w:rPr>
                <w:rFonts w:hint="eastAsia" w:ascii="仿宋" w:hAnsi="仿宋" w:eastAsia="仿宋" w:cs="仿宋"/>
                <w:color w:val="000000"/>
                <w:sz w:val="24"/>
                <w:szCs w:val="24"/>
                <w:highlight w:val="none"/>
                <w:lang w:val="en-US" w:eastAsia="zh-CN"/>
              </w:rPr>
            </w:pPr>
            <w:r>
              <w:rPr>
                <w:rFonts w:hint="eastAsia" w:ascii="仿宋" w:hAnsi="仿宋" w:eastAsia="仿宋" w:cs="仿宋"/>
                <w:i w:val="0"/>
                <w:color w:val="auto"/>
                <w:kern w:val="0"/>
                <w:sz w:val="24"/>
                <w:szCs w:val="24"/>
                <w:highlight w:val="none"/>
                <w:u w:val="none"/>
                <w:lang w:val="en-US" w:eastAsia="zh-CN" w:bidi="ar"/>
              </w:rPr>
              <w:t>2副</w:t>
            </w:r>
          </w:p>
        </w:tc>
        <w:tc>
          <w:tcPr>
            <w:tcW w:w="1470" w:type="dxa"/>
            <w:noWrap w:val="0"/>
            <w:vAlign w:val="center"/>
          </w:tcPr>
          <w:p>
            <w:pPr>
              <w:keepNext w:val="0"/>
              <w:keepLines w:val="0"/>
              <w:widowControl/>
              <w:suppressLineNumbers w:val="0"/>
              <w:jc w:val="center"/>
              <w:textAlignment w:val="center"/>
              <w:rPr>
                <w:rFonts w:hint="eastAsia" w:ascii="仿宋" w:hAnsi="仿宋" w:eastAsia="仿宋" w:cs="仿宋"/>
                <w:color w:val="000000"/>
                <w:sz w:val="24"/>
                <w:szCs w:val="24"/>
                <w:highlight w:val="none"/>
                <w:lang w:val="en-US" w:eastAsia="zh-CN"/>
              </w:rPr>
            </w:pPr>
            <w:r>
              <w:rPr>
                <w:rFonts w:hint="eastAsia" w:ascii="仿宋" w:hAnsi="仿宋" w:eastAsia="仿宋" w:cs="仿宋"/>
                <w:i w:val="0"/>
                <w:color w:val="auto"/>
                <w:kern w:val="0"/>
                <w:sz w:val="24"/>
                <w:szCs w:val="24"/>
                <w:highlight w:val="none"/>
                <w:u w:val="none"/>
                <w:lang w:val="en-US" w:eastAsia="zh-CN" w:bidi="ar"/>
              </w:rPr>
              <w:t>2副</w:t>
            </w:r>
          </w:p>
        </w:tc>
        <w:tc>
          <w:tcPr>
            <w:tcW w:w="1299" w:type="dxa"/>
            <w:noWrap w:val="0"/>
            <w:vAlign w:val="center"/>
          </w:tcPr>
          <w:p>
            <w:pPr>
              <w:keepNext w:val="0"/>
              <w:keepLines w:val="0"/>
              <w:widowControl/>
              <w:suppressLineNumbers w:val="0"/>
              <w:jc w:val="center"/>
              <w:textAlignment w:val="center"/>
              <w:rPr>
                <w:rFonts w:hint="eastAsia" w:ascii="仿宋" w:hAnsi="仿宋" w:eastAsia="仿宋" w:cs="仿宋"/>
                <w:color w:val="000000"/>
                <w:sz w:val="24"/>
                <w:szCs w:val="24"/>
                <w:highlight w:val="none"/>
                <w:lang w:val="en-US" w:eastAsia="zh-CN"/>
              </w:rPr>
            </w:pPr>
            <w:r>
              <w:rPr>
                <w:rFonts w:hint="eastAsia" w:ascii="仿宋" w:hAnsi="仿宋" w:eastAsia="仿宋" w:cs="仿宋"/>
                <w:i w:val="0"/>
                <w:color w:val="auto"/>
                <w:kern w:val="0"/>
                <w:sz w:val="24"/>
                <w:szCs w:val="24"/>
                <w:highlight w:val="none"/>
                <w:u w:val="none"/>
                <w:lang w:val="en-US" w:eastAsia="zh-CN" w:bidi="ar"/>
              </w:rPr>
              <w:t>2副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noWrap w:val="0"/>
            <w:vAlign w:val="center"/>
          </w:tcPr>
          <w:p>
            <w:pPr>
              <w:adjustRightInd w:val="0"/>
              <w:snapToGrid w:val="0"/>
              <w:spacing w:line="44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6</w:t>
            </w:r>
          </w:p>
        </w:tc>
        <w:tc>
          <w:tcPr>
            <w:tcW w:w="3815" w:type="dxa"/>
            <w:noWrap w:val="0"/>
            <w:vAlign w:val="center"/>
          </w:tcPr>
          <w:p>
            <w:pPr>
              <w:keepNext w:val="0"/>
              <w:keepLines w:val="0"/>
              <w:widowControl/>
              <w:suppressLineNumbers w:val="0"/>
              <w:jc w:val="center"/>
              <w:textAlignment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塑料玩具</w:t>
            </w:r>
          </w:p>
        </w:tc>
        <w:tc>
          <w:tcPr>
            <w:tcW w:w="1470" w:type="dxa"/>
            <w:noWrap w:val="0"/>
            <w:vAlign w:val="center"/>
          </w:tcPr>
          <w:p>
            <w:pPr>
              <w:keepNext w:val="0"/>
              <w:keepLines w:val="0"/>
              <w:widowControl/>
              <w:suppressLineNumbers w:val="0"/>
              <w:jc w:val="center"/>
              <w:textAlignment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3个</w:t>
            </w:r>
          </w:p>
        </w:tc>
        <w:tc>
          <w:tcPr>
            <w:tcW w:w="1470" w:type="dxa"/>
            <w:noWrap w:val="0"/>
            <w:vAlign w:val="center"/>
          </w:tcPr>
          <w:p>
            <w:pPr>
              <w:keepNext w:val="0"/>
              <w:keepLines w:val="0"/>
              <w:widowControl/>
              <w:suppressLineNumbers w:val="0"/>
              <w:jc w:val="center"/>
              <w:textAlignment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3个</w:t>
            </w:r>
          </w:p>
        </w:tc>
        <w:tc>
          <w:tcPr>
            <w:tcW w:w="1299" w:type="dxa"/>
            <w:noWrap w:val="0"/>
            <w:vAlign w:val="center"/>
          </w:tcPr>
          <w:p>
            <w:pPr>
              <w:keepNext w:val="0"/>
              <w:keepLines w:val="0"/>
              <w:widowControl/>
              <w:suppressLineNumbers w:val="0"/>
              <w:jc w:val="center"/>
              <w:textAlignment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3个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noWrap w:val="0"/>
            <w:vAlign w:val="center"/>
          </w:tcPr>
          <w:p>
            <w:pPr>
              <w:adjustRightInd w:val="0"/>
              <w:snapToGrid w:val="0"/>
              <w:spacing w:line="44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7</w:t>
            </w:r>
          </w:p>
        </w:tc>
        <w:tc>
          <w:tcPr>
            <w:tcW w:w="3815" w:type="dxa"/>
            <w:noWrap w:val="0"/>
            <w:vAlign w:val="center"/>
          </w:tcPr>
          <w:p>
            <w:pPr>
              <w:keepNext w:val="0"/>
              <w:keepLines w:val="0"/>
              <w:widowControl/>
              <w:suppressLineNumbers w:val="0"/>
              <w:jc w:val="center"/>
              <w:textAlignment w:val="center"/>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lang w:eastAsia="zh-CN"/>
              </w:rPr>
              <w:t>毛绒、布制玩具</w:t>
            </w:r>
          </w:p>
        </w:tc>
        <w:tc>
          <w:tcPr>
            <w:tcW w:w="1470" w:type="dxa"/>
            <w:noWrap w:val="0"/>
            <w:vAlign w:val="center"/>
          </w:tcPr>
          <w:p>
            <w:pPr>
              <w:keepNext w:val="0"/>
              <w:keepLines w:val="0"/>
              <w:widowControl/>
              <w:suppressLineNumbers w:val="0"/>
              <w:jc w:val="center"/>
              <w:textAlignment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2个</w:t>
            </w:r>
          </w:p>
        </w:tc>
        <w:tc>
          <w:tcPr>
            <w:tcW w:w="1470" w:type="dxa"/>
            <w:noWrap w:val="0"/>
            <w:vAlign w:val="center"/>
          </w:tcPr>
          <w:p>
            <w:pPr>
              <w:keepNext w:val="0"/>
              <w:keepLines w:val="0"/>
              <w:widowControl/>
              <w:suppressLineNumbers w:val="0"/>
              <w:jc w:val="center"/>
              <w:textAlignment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2个</w:t>
            </w:r>
          </w:p>
        </w:tc>
        <w:tc>
          <w:tcPr>
            <w:tcW w:w="1299" w:type="dxa"/>
            <w:noWrap w:val="0"/>
            <w:vAlign w:val="center"/>
          </w:tcPr>
          <w:p>
            <w:pPr>
              <w:keepNext w:val="0"/>
              <w:keepLines w:val="0"/>
              <w:widowControl/>
              <w:suppressLineNumbers w:val="0"/>
              <w:jc w:val="center"/>
              <w:textAlignment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noWrap w:val="0"/>
            <w:vAlign w:val="center"/>
          </w:tcPr>
          <w:p>
            <w:pPr>
              <w:adjustRightInd w:val="0"/>
              <w:snapToGrid w:val="0"/>
              <w:spacing w:line="44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8</w:t>
            </w:r>
          </w:p>
        </w:tc>
        <w:tc>
          <w:tcPr>
            <w:tcW w:w="3815" w:type="dxa"/>
            <w:noWrap w:val="0"/>
            <w:vAlign w:val="center"/>
          </w:tcPr>
          <w:p>
            <w:pPr>
              <w:adjustRightInd w:val="0"/>
              <w:snapToGrid w:val="0"/>
              <w:spacing w:line="440" w:lineRule="exact"/>
              <w:jc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塑料购物袋</w:t>
            </w:r>
          </w:p>
        </w:tc>
        <w:tc>
          <w:tcPr>
            <w:tcW w:w="1470"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2"/>
                <w:sz w:val="24"/>
                <w:szCs w:val="24"/>
                <w:highlight w:val="none"/>
                <w:lang w:val="en-US" w:eastAsia="zh-CN" w:bidi="ar-SA"/>
              </w:rPr>
              <w:t>不少于</w:t>
            </w:r>
            <w:r>
              <w:rPr>
                <w:rFonts w:hint="eastAsia" w:ascii="仿宋" w:hAnsi="仿宋" w:eastAsia="仿宋" w:cs="仿宋"/>
                <w:color w:val="auto"/>
                <w:sz w:val="24"/>
                <w:szCs w:val="24"/>
                <w:highlight w:val="none"/>
                <w:lang w:val="en-US" w:eastAsia="zh-CN"/>
              </w:rPr>
              <w:t>60个</w:t>
            </w:r>
          </w:p>
        </w:tc>
        <w:tc>
          <w:tcPr>
            <w:tcW w:w="1470"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2"/>
                <w:sz w:val="24"/>
                <w:szCs w:val="24"/>
                <w:highlight w:val="none"/>
                <w:lang w:val="en-US" w:eastAsia="zh-CN" w:bidi="ar-SA"/>
              </w:rPr>
              <w:t>不少于</w:t>
            </w:r>
            <w:r>
              <w:rPr>
                <w:rFonts w:hint="eastAsia" w:ascii="仿宋" w:hAnsi="仿宋" w:eastAsia="仿宋" w:cs="仿宋"/>
                <w:color w:val="auto"/>
                <w:sz w:val="24"/>
                <w:szCs w:val="24"/>
                <w:highlight w:val="none"/>
                <w:lang w:val="en-US" w:eastAsia="zh-CN"/>
              </w:rPr>
              <w:t>30个</w:t>
            </w:r>
          </w:p>
        </w:tc>
        <w:tc>
          <w:tcPr>
            <w:tcW w:w="1299" w:type="dxa"/>
            <w:noWrap w:val="0"/>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2"/>
                <w:sz w:val="24"/>
                <w:szCs w:val="24"/>
                <w:highlight w:val="none"/>
                <w:lang w:val="en-US" w:eastAsia="zh-CN" w:bidi="ar-SA"/>
              </w:rPr>
              <w:t>不少于</w:t>
            </w:r>
            <w:r>
              <w:rPr>
                <w:rFonts w:hint="eastAsia" w:ascii="仿宋" w:hAnsi="仿宋" w:eastAsia="仿宋" w:cs="仿宋"/>
                <w:color w:val="auto"/>
                <w:sz w:val="24"/>
                <w:szCs w:val="24"/>
                <w:highlight w:val="none"/>
                <w:lang w:val="en-US" w:eastAsia="zh-CN"/>
              </w:rPr>
              <w:t>30个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noWrap w:val="0"/>
            <w:vAlign w:val="center"/>
          </w:tcPr>
          <w:p>
            <w:pPr>
              <w:adjustRightInd w:val="0"/>
              <w:snapToGrid w:val="0"/>
              <w:spacing w:line="44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9</w:t>
            </w:r>
          </w:p>
        </w:tc>
        <w:tc>
          <w:tcPr>
            <w:tcW w:w="3815" w:type="dxa"/>
            <w:noWrap w:val="0"/>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仿宋" w:hAnsi="仿宋" w:eastAsia="仿宋" w:cs="仿宋"/>
                <w:color w:val="000000"/>
                <w:sz w:val="24"/>
                <w:szCs w:val="24"/>
                <w:highlight w:val="none"/>
                <w:lang w:eastAsia="zh-CN"/>
              </w:rPr>
            </w:pPr>
            <w:r>
              <w:rPr>
                <w:rFonts w:hint="eastAsia" w:ascii="仿宋" w:hAnsi="仿宋" w:eastAsia="仿宋" w:cs="仿宋"/>
                <w:color w:val="auto"/>
                <w:kern w:val="2"/>
                <w:sz w:val="24"/>
                <w:szCs w:val="24"/>
                <w:highlight w:val="none"/>
                <w:lang w:val="en-US" w:eastAsia="zh-CN" w:bidi="ar-SA"/>
              </w:rPr>
              <w:t>食品接触用塑料制品</w:t>
            </w:r>
          </w:p>
        </w:tc>
        <w:tc>
          <w:tcPr>
            <w:tcW w:w="1470" w:type="dxa"/>
            <w:noWrap w:val="0"/>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2"/>
                <w:sz w:val="24"/>
                <w:szCs w:val="24"/>
                <w:highlight w:val="none"/>
                <w:lang w:val="en-US" w:eastAsia="zh-CN" w:bidi="ar-SA"/>
              </w:rPr>
              <w:t>不少于100个</w:t>
            </w:r>
          </w:p>
        </w:tc>
        <w:tc>
          <w:tcPr>
            <w:tcW w:w="1470" w:type="dxa"/>
            <w:noWrap w:val="0"/>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2"/>
                <w:sz w:val="24"/>
                <w:szCs w:val="24"/>
                <w:highlight w:val="none"/>
                <w:lang w:val="en-US" w:eastAsia="zh-CN" w:bidi="ar-SA"/>
              </w:rPr>
              <w:t>不少于50个</w:t>
            </w:r>
          </w:p>
        </w:tc>
        <w:tc>
          <w:tcPr>
            <w:tcW w:w="1299" w:type="dxa"/>
            <w:noWrap w:val="0"/>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2"/>
                <w:sz w:val="24"/>
                <w:szCs w:val="24"/>
                <w:highlight w:val="none"/>
                <w:lang w:val="en-US" w:eastAsia="zh-CN" w:bidi="ar-SA"/>
              </w:rPr>
              <w:t>不少于50个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noWrap w:val="0"/>
            <w:vAlign w:val="center"/>
          </w:tcPr>
          <w:p>
            <w:pPr>
              <w:adjustRightInd w:val="0"/>
              <w:snapToGrid w:val="0"/>
              <w:spacing w:line="44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10</w:t>
            </w:r>
          </w:p>
        </w:tc>
        <w:tc>
          <w:tcPr>
            <w:tcW w:w="3815" w:type="dxa"/>
            <w:noWrap w:val="0"/>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仿宋" w:hAnsi="仿宋" w:eastAsia="仿宋" w:cs="仿宋"/>
                <w:color w:val="000000"/>
                <w:sz w:val="24"/>
                <w:szCs w:val="24"/>
                <w:highlight w:val="none"/>
                <w:lang w:eastAsia="zh-CN"/>
              </w:rPr>
            </w:pPr>
            <w:r>
              <w:rPr>
                <w:rFonts w:hint="eastAsia" w:ascii="仿宋" w:hAnsi="仿宋" w:eastAsia="仿宋" w:cs="仿宋"/>
                <w:color w:val="auto"/>
                <w:kern w:val="2"/>
                <w:sz w:val="24"/>
                <w:szCs w:val="24"/>
                <w:highlight w:val="none"/>
                <w:lang w:val="en-US" w:eastAsia="zh-CN" w:bidi="ar-SA"/>
              </w:rPr>
              <w:t>手洗餐具用洗涤剂</w:t>
            </w:r>
          </w:p>
        </w:tc>
        <w:tc>
          <w:tcPr>
            <w:tcW w:w="1470" w:type="dxa"/>
            <w:noWrap w:val="0"/>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仿宋" w:hAnsi="仿宋" w:eastAsia="仿宋" w:cs="仿宋"/>
                <w:color w:val="000000"/>
                <w:sz w:val="24"/>
                <w:szCs w:val="24"/>
                <w:highlight w:val="none"/>
                <w:lang w:val="en-US"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eastAsia="zh-CN"/>
              </w:rPr>
              <w:t>个独立包装</w:t>
            </w:r>
          </w:p>
        </w:tc>
        <w:tc>
          <w:tcPr>
            <w:tcW w:w="1470" w:type="dxa"/>
            <w:noWrap w:val="0"/>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仿宋" w:hAnsi="仿宋" w:eastAsia="仿宋" w:cs="仿宋"/>
                <w:color w:val="000000"/>
                <w:sz w:val="24"/>
                <w:szCs w:val="24"/>
                <w:highlight w:val="none"/>
                <w:lang w:val="en-US" w:eastAsia="zh-CN"/>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eastAsia="zh-CN"/>
              </w:rPr>
              <w:t>个独立包装</w:t>
            </w:r>
          </w:p>
        </w:tc>
        <w:tc>
          <w:tcPr>
            <w:tcW w:w="1299" w:type="dxa"/>
            <w:noWrap w:val="0"/>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仿宋" w:hAnsi="仿宋" w:eastAsia="仿宋" w:cs="仿宋"/>
                <w:color w:val="000000"/>
                <w:sz w:val="24"/>
                <w:szCs w:val="24"/>
                <w:highlight w:val="none"/>
                <w:lang w:val="en-US" w:eastAsia="zh-CN"/>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eastAsia="zh-CN"/>
              </w:rPr>
              <w:t>个独立包装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noWrap w:val="0"/>
            <w:vAlign w:val="center"/>
          </w:tcPr>
          <w:p>
            <w:pPr>
              <w:adjustRightInd w:val="0"/>
              <w:snapToGrid w:val="0"/>
              <w:spacing w:line="440" w:lineRule="exact"/>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11</w:t>
            </w:r>
          </w:p>
        </w:tc>
        <w:tc>
          <w:tcPr>
            <w:tcW w:w="3815" w:type="dxa"/>
            <w:noWrap w:val="0"/>
            <w:vAlign w:val="center"/>
          </w:tcPr>
          <w:p>
            <w:pPr>
              <w:jc w:val="center"/>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lang w:eastAsia="zh-CN"/>
              </w:rPr>
              <w:t>液化石油气</w:t>
            </w:r>
          </w:p>
        </w:tc>
        <w:tc>
          <w:tcPr>
            <w:tcW w:w="1470"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3.6kg</w:t>
            </w:r>
          </w:p>
        </w:tc>
        <w:tc>
          <w:tcPr>
            <w:tcW w:w="1470"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3.6kg</w:t>
            </w:r>
          </w:p>
        </w:tc>
        <w:tc>
          <w:tcPr>
            <w:tcW w:w="1299"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3.6kg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noWrap w:val="0"/>
            <w:vAlign w:val="center"/>
          </w:tcPr>
          <w:p>
            <w:pPr>
              <w:adjustRightInd w:val="0"/>
              <w:snapToGrid w:val="0"/>
              <w:spacing w:line="44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12</w:t>
            </w:r>
          </w:p>
        </w:tc>
        <w:tc>
          <w:tcPr>
            <w:tcW w:w="3815" w:type="dxa"/>
            <w:noWrap w:val="0"/>
            <w:vAlign w:val="center"/>
          </w:tcPr>
          <w:p>
            <w:pPr>
              <w:jc w:val="center"/>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lang w:eastAsia="zh-CN"/>
              </w:rPr>
              <w:t>复合肥料</w:t>
            </w:r>
          </w:p>
        </w:tc>
        <w:tc>
          <w:tcPr>
            <w:tcW w:w="1470"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auto"/>
                <w:kern w:val="2"/>
                <w:sz w:val="24"/>
                <w:szCs w:val="24"/>
                <w:highlight w:val="none"/>
                <w:lang w:val="en-US" w:eastAsia="zh-CN" w:bidi="ar-SA"/>
              </w:rPr>
              <w:t>1000g</w:t>
            </w:r>
          </w:p>
        </w:tc>
        <w:tc>
          <w:tcPr>
            <w:tcW w:w="1470"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500g</w:t>
            </w:r>
          </w:p>
        </w:tc>
        <w:tc>
          <w:tcPr>
            <w:tcW w:w="1299"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500g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noWrap w:val="0"/>
            <w:vAlign w:val="center"/>
          </w:tcPr>
          <w:p>
            <w:pPr>
              <w:adjustRightInd w:val="0"/>
              <w:snapToGrid w:val="0"/>
              <w:spacing w:line="44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13</w:t>
            </w:r>
          </w:p>
        </w:tc>
        <w:tc>
          <w:tcPr>
            <w:tcW w:w="3815" w:type="dxa"/>
            <w:noWrap w:val="0"/>
            <w:vAlign w:val="center"/>
          </w:tcPr>
          <w:p>
            <w:pPr>
              <w:jc w:val="center"/>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lang w:eastAsia="zh-CN"/>
              </w:rPr>
              <w:t>尿素</w:t>
            </w:r>
          </w:p>
        </w:tc>
        <w:tc>
          <w:tcPr>
            <w:tcW w:w="1470"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auto"/>
                <w:kern w:val="2"/>
                <w:sz w:val="24"/>
                <w:szCs w:val="24"/>
                <w:highlight w:val="none"/>
                <w:lang w:val="en-US" w:eastAsia="zh-CN" w:bidi="ar-SA"/>
              </w:rPr>
              <w:t>1000g</w:t>
            </w:r>
          </w:p>
        </w:tc>
        <w:tc>
          <w:tcPr>
            <w:tcW w:w="1470"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500g</w:t>
            </w:r>
          </w:p>
        </w:tc>
        <w:tc>
          <w:tcPr>
            <w:tcW w:w="1299"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500g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noWrap w:val="0"/>
            <w:vAlign w:val="center"/>
          </w:tcPr>
          <w:p>
            <w:pPr>
              <w:adjustRightInd w:val="0"/>
              <w:snapToGrid w:val="0"/>
              <w:spacing w:line="44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14</w:t>
            </w:r>
          </w:p>
        </w:tc>
        <w:tc>
          <w:tcPr>
            <w:tcW w:w="3815" w:type="dxa"/>
            <w:noWrap w:val="0"/>
            <w:vAlign w:val="center"/>
          </w:tcPr>
          <w:p>
            <w:pPr>
              <w:jc w:val="center"/>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lang w:eastAsia="zh-CN"/>
              </w:rPr>
              <w:t>磷酸一铵、磷酸二铵</w:t>
            </w:r>
          </w:p>
        </w:tc>
        <w:tc>
          <w:tcPr>
            <w:tcW w:w="1470"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auto"/>
                <w:kern w:val="2"/>
                <w:sz w:val="24"/>
                <w:szCs w:val="24"/>
                <w:highlight w:val="none"/>
                <w:lang w:val="en-US" w:eastAsia="zh-CN" w:bidi="ar-SA"/>
              </w:rPr>
              <w:t>1000g</w:t>
            </w:r>
          </w:p>
        </w:tc>
        <w:tc>
          <w:tcPr>
            <w:tcW w:w="1470"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500g</w:t>
            </w:r>
          </w:p>
        </w:tc>
        <w:tc>
          <w:tcPr>
            <w:tcW w:w="1299"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500g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noWrap w:val="0"/>
            <w:vAlign w:val="center"/>
          </w:tcPr>
          <w:p>
            <w:pPr>
              <w:adjustRightInd w:val="0"/>
              <w:snapToGrid w:val="0"/>
              <w:spacing w:line="44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15</w:t>
            </w:r>
          </w:p>
        </w:tc>
        <w:tc>
          <w:tcPr>
            <w:tcW w:w="3815" w:type="dxa"/>
            <w:noWrap w:val="0"/>
            <w:vAlign w:val="center"/>
          </w:tcPr>
          <w:p>
            <w:pPr>
              <w:keepNext w:val="0"/>
              <w:keepLines w:val="0"/>
              <w:widowControl/>
              <w:suppressLineNumbers w:val="0"/>
              <w:jc w:val="center"/>
              <w:textAlignment w:val="center"/>
              <w:rPr>
                <w:rFonts w:hint="eastAsia" w:ascii="仿宋" w:hAnsi="仿宋" w:eastAsia="仿宋" w:cs="仿宋"/>
                <w:color w:val="000000"/>
                <w:sz w:val="24"/>
                <w:szCs w:val="24"/>
                <w:highlight w:val="none"/>
                <w:lang w:eastAsia="zh-CN"/>
              </w:rPr>
            </w:pPr>
            <w:r>
              <w:rPr>
                <w:rFonts w:hint="eastAsia" w:ascii="仿宋" w:hAnsi="仿宋" w:eastAsia="仿宋" w:cs="仿宋"/>
                <w:i w:val="0"/>
                <w:iCs w:val="0"/>
                <w:color w:val="000000"/>
                <w:kern w:val="0"/>
                <w:sz w:val="24"/>
                <w:szCs w:val="24"/>
                <w:u w:val="none"/>
                <w:lang w:val="en-US" w:eastAsia="zh-CN" w:bidi="ar"/>
              </w:rPr>
              <w:t>贵金属饰品（镶嵌贵金属饰品除外）</w:t>
            </w:r>
          </w:p>
        </w:tc>
        <w:tc>
          <w:tcPr>
            <w:tcW w:w="1470"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highlight w:val="none"/>
                <w:lang w:val="en-US" w:eastAsia="zh-CN"/>
              </w:rPr>
              <w:t>1</w:t>
            </w:r>
            <w:r>
              <w:rPr>
                <w:rFonts w:hint="eastAsia" w:ascii="仿宋" w:hAnsi="仿宋" w:eastAsia="仿宋" w:cs="仿宋"/>
                <w:color w:val="000000"/>
                <w:sz w:val="24"/>
                <w:szCs w:val="24"/>
                <w:highlight w:val="none"/>
                <w:lang w:eastAsia="zh-CN"/>
              </w:rPr>
              <w:t>件</w:t>
            </w:r>
          </w:p>
        </w:tc>
        <w:tc>
          <w:tcPr>
            <w:tcW w:w="1470"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1件</w:t>
            </w:r>
          </w:p>
        </w:tc>
        <w:tc>
          <w:tcPr>
            <w:tcW w:w="1299"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无备样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noWrap w:val="0"/>
            <w:vAlign w:val="center"/>
          </w:tcPr>
          <w:p>
            <w:pPr>
              <w:adjustRightInd w:val="0"/>
              <w:snapToGrid w:val="0"/>
              <w:spacing w:line="44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16</w:t>
            </w:r>
          </w:p>
        </w:tc>
        <w:tc>
          <w:tcPr>
            <w:tcW w:w="3815" w:type="dxa"/>
            <w:noWrap w:val="0"/>
            <w:vAlign w:val="center"/>
          </w:tcPr>
          <w:p>
            <w:pPr>
              <w:keepNext w:val="0"/>
              <w:keepLines w:val="0"/>
              <w:widowControl/>
              <w:suppressLineNumbers w:val="0"/>
              <w:jc w:val="center"/>
              <w:textAlignment w:val="center"/>
              <w:rPr>
                <w:rFonts w:hint="eastAsia" w:ascii="仿宋" w:hAnsi="仿宋" w:eastAsia="仿宋" w:cs="仿宋"/>
                <w:color w:val="000000"/>
                <w:sz w:val="24"/>
                <w:szCs w:val="24"/>
                <w:highlight w:val="none"/>
                <w:lang w:eastAsia="zh-CN"/>
              </w:rPr>
            </w:pPr>
            <w:r>
              <w:rPr>
                <w:rFonts w:hint="eastAsia" w:ascii="仿宋" w:hAnsi="仿宋" w:eastAsia="仿宋" w:cs="仿宋"/>
                <w:i w:val="0"/>
                <w:iCs w:val="0"/>
                <w:color w:val="000000"/>
                <w:kern w:val="0"/>
                <w:sz w:val="24"/>
                <w:szCs w:val="24"/>
                <w:u w:val="none"/>
                <w:lang w:val="en-US" w:eastAsia="zh-CN" w:bidi="ar"/>
              </w:rPr>
              <w:t>贵金属珠宝玉石（镶嵌珠宝玉石除外）</w:t>
            </w:r>
          </w:p>
        </w:tc>
        <w:tc>
          <w:tcPr>
            <w:tcW w:w="1470"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highlight w:val="none"/>
                <w:lang w:val="en-US" w:eastAsia="zh-CN"/>
              </w:rPr>
              <w:t>1</w:t>
            </w:r>
            <w:r>
              <w:rPr>
                <w:rFonts w:hint="eastAsia" w:ascii="仿宋" w:hAnsi="仿宋" w:eastAsia="仿宋" w:cs="仿宋"/>
                <w:color w:val="000000"/>
                <w:sz w:val="24"/>
                <w:szCs w:val="24"/>
                <w:highlight w:val="none"/>
                <w:lang w:eastAsia="zh-CN"/>
              </w:rPr>
              <w:t>件</w:t>
            </w:r>
          </w:p>
        </w:tc>
        <w:tc>
          <w:tcPr>
            <w:tcW w:w="1470"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1件</w:t>
            </w:r>
          </w:p>
        </w:tc>
        <w:tc>
          <w:tcPr>
            <w:tcW w:w="1299"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无备样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noWrap w:val="0"/>
            <w:vAlign w:val="center"/>
          </w:tcPr>
          <w:p>
            <w:pPr>
              <w:adjustRightInd w:val="0"/>
              <w:snapToGrid w:val="0"/>
              <w:spacing w:line="44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17</w:t>
            </w:r>
          </w:p>
        </w:tc>
        <w:tc>
          <w:tcPr>
            <w:tcW w:w="3815" w:type="dxa"/>
            <w:noWrap w:val="0"/>
            <w:vAlign w:val="center"/>
          </w:tcPr>
          <w:p>
            <w:pPr>
              <w:keepNext w:val="0"/>
              <w:keepLines w:val="0"/>
              <w:widowControl/>
              <w:suppressLineNumbers w:val="0"/>
              <w:jc w:val="center"/>
              <w:textAlignment w:val="center"/>
              <w:rPr>
                <w:rFonts w:hint="eastAsia" w:ascii="仿宋" w:hAnsi="仿宋" w:eastAsia="仿宋" w:cs="仿宋"/>
                <w:color w:val="000000"/>
                <w:sz w:val="24"/>
                <w:szCs w:val="24"/>
                <w:highlight w:val="none"/>
                <w:lang w:eastAsia="zh-CN"/>
              </w:rPr>
            </w:pPr>
            <w:r>
              <w:rPr>
                <w:rFonts w:hint="eastAsia" w:ascii="仿宋" w:hAnsi="仿宋" w:eastAsia="仿宋" w:cs="仿宋"/>
                <w:i w:val="0"/>
                <w:iCs w:val="0"/>
                <w:color w:val="000000"/>
                <w:kern w:val="0"/>
                <w:sz w:val="24"/>
                <w:szCs w:val="24"/>
                <w:u w:val="none"/>
                <w:lang w:val="en-US" w:eastAsia="zh-CN" w:bidi="ar"/>
              </w:rPr>
              <w:t>手提式灭火器</w:t>
            </w:r>
          </w:p>
        </w:tc>
        <w:tc>
          <w:tcPr>
            <w:tcW w:w="1470" w:type="dxa"/>
            <w:noWrap w:val="0"/>
            <w:vAlign w:val="center"/>
          </w:tcPr>
          <w:p>
            <w:pPr>
              <w:adjustRightInd w:val="0"/>
              <w:snapToGrid w:val="0"/>
              <w:spacing w:line="24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auto"/>
                <w:sz w:val="24"/>
                <w:szCs w:val="24"/>
                <w:highlight w:val="none"/>
                <w:lang w:val="en-US" w:eastAsia="zh-CN"/>
              </w:rPr>
              <w:t>4具</w:t>
            </w:r>
          </w:p>
        </w:tc>
        <w:tc>
          <w:tcPr>
            <w:tcW w:w="1470" w:type="dxa"/>
            <w:noWrap w:val="0"/>
            <w:vAlign w:val="center"/>
          </w:tcPr>
          <w:p>
            <w:pPr>
              <w:adjustRightInd w:val="0"/>
              <w:snapToGrid w:val="0"/>
              <w:spacing w:line="24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auto"/>
                <w:sz w:val="24"/>
                <w:szCs w:val="24"/>
                <w:highlight w:val="none"/>
                <w:lang w:val="en-US" w:eastAsia="zh-CN"/>
              </w:rPr>
              <w:t>2具</w:t>
            </w:r>
          </w:p>
        </w:tc>
        <w:tc>
          <w:tcPr>
            <w:tcW w:w="1299" w:type="dxa"/>
            <w:noWrap w:val="0"/>
            <w:vAlign w:val="center"/>
          </w:tcPr>
          <w:p>
            <w:pPr>
              <w:adjustRightInd w:val="0"/>
              <w:snapToGrid w:val="0"/>
              <w:spacing w:line="24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auto"/>
                <w:sz w:val="24"/>
                <w:szCs w:val="24"/>
                <w:highlight w:val="none"/>
                <w:lang w:val="en-US" w:eastAsia="zh-CN"/>
              </w:rPr>
              <w:t>2具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noWrap w:val="0"/>
            <w:vAlign w:val="center"/>
          </w:tcPr>
          <w:p>
            <w:pPr>
              <w:adjustRightInd w:val="0"/>
              <w:snapToGrid w:val="0"/>
              <w:spacing w:line="44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18</w:t>
            </w:r>
          </w:p>
        </w:tc>
        <w:tc>
          <w:tcPr>
            <w:tcW w:w="3815" w:type="dxa"/>
            <w:noWrap w:val="0"/>
            <w:vAlign w:val="center"/>
          </w:tcPr>
          <w:p>
            <w:pPr>
              <w:keepNext w:val="0"/>
              <w:keepLines w:val="0"/>
              <w:widowControl/>
              <w:suppressLineNumbers w:val="0"/>
              <w:jc w:val="center"/>
              <w:textAlignment w:val="center"/>
              <w:rPr>
                <w:rFonts w:hint="eastAsia" w:ascii="仿宋" w:hAnsi="仿宋" w:eastAsia="仿宋" w:cs="仿宋"/>
                <w:color w:val="000000"/>
                <w:sz w:val="24"/>
                <w:szCs w:val="24"/>
                <w:highlight w:val="none"/>
                <w:lang w:eastAsia="zh-CN"/>
              </w:rPr>
            </w:pPr>
            <w:r>
              <w:rPr>
                <w:rFonts w:hint="eastAsia" w:ascii="仿宋" w:hAnsi="仿宋" w:eastAsia="仿宋" w:cs="仿宋"/>
                <w:i w:val="0"/>
                <w:iCs w:val="0"/>
                <w:color w:val="000000"/>
                <w:kern w:val="0"/>
                <w:sz w:val="24"/>
                <w:szCs w:val="24"/>
                <w:u w:val="none"/>
                <w:lang w:val="en-US" w:eastAsia="zh-CN" w:bidi="ar"/>
              </w:rPr>
              <w:t>消防水带</w:t>
            </w:r>
          </w:p>
        </w:tc>
        <w:tc>
          <w:tcPr>
            <w:tcW w:w="1470" w:type="dxa"/>
            <w:noWrap w:val="0"/>
            <w:vAlign w:val="center"/>
          </w:tcPr>
          <w:p>
            <w:pPr>
              <w:adjustRightInd w:val="0"/>
              <w:snapToGrid w:val="0"/>
              <w:spacing w:line="24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auto"/>
                <w:sz w:val="24"/>
                <w:szCs w:val="24"/>
                <w:highlight w:val="none"/>
                <w:lang w:val="en-US" w:eastAsia="zh-CN"/>
              </w:rPr>
              <w:t>2根</w:t>
            </w:r>
          </w:p>
        </w:tc>
        <w:tc>
          <w:tcPr>
            <w:tcW w:w="1470" w:type="dxa"/>
            <w:noWrap w:val="0"/>
            <w:vAlign w:val="center"/>
          </w:tcPr>
          <w:p>
            <w:pPr>
              <w:adjustRightInd w:val="0"/>
              <w:snapToGrid w:val="0"/>
              <w:spacing w:line="24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auto"/>
                <w:sz w:val="24"/>
                <w:szCs w:val="24"/>
                <w:highlight w:val="none"/>
                <w:lang w:val="en-US" w:eastAsia="zh-CN"/>
              </w:rPr>
              <w:t>1根</w:t>
            </w:r>
          </w:p>
        </w:tc>
        <w:tc>
          <w:tcPr>
            <w:tcW w:w="1299" w:type="dxa"/>
            <w:noWrap w:val="0"/>
            <w:vAlign w:val="center"/>
          </w:tcPr>
          <w:p>
            <w:pPr>
              <w:adjustRightInd w:val="0"/>
              <w:snapToGrid w:val="0"/>
              <w:spacing w:line="24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auto"/>
                <w:sz w:val="24"/>
                <w:szCs w:val="24"/>
                <w:highlight w:val="none"/>
                <w:lang w:val="en-US" w:eastAsia="zh-CN"/>
              </w:rPr>
              <w:t>1根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noWrap w:val="0"/>
            <w:vAlign w:val="center"/>
          </w:tcPr>
          <w:p>
            <w:pPr>
              <w:adjustRightInd w:val="0"/>
              <w:snapToGrid w:val="0"/>
              <w:spacing w:line="44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19</w:t>
            </w:r>
          </w:p>
        </w:tc>
        <w:tc>
          <w:tcPr>
            <w:tcW w:w="3815" w:type="dxa"/>
            <w:noWrap w:val="0"/>
            <w:vAlign w:val="center"/>
          </w:tcPr>
          <w:p>
            <w:pPr>
              <w:keepNext w:val="0"/>
              <w:keepLines w:val="0"/>
              <w:widowControl/>
              <w:suppressLineNumbers w:val="0"/>
              <w:jc w:val="center"/>
              <w:textAlignment w:val="center"/>
              <w:rPr>
                <w:rFonts w:hint="eastAsia" w:ascii="仿宋" w:hAnsi="仿宋" w:eastAsia="仿宋" w:cs="仿宋"/>
                <w:color w:val="000000"/>
                <w:sz w:val="24"/>
                <w:szCs w:val="24"/>
                <w:highlight w:val="none"/>
                <w:lang w:eastAsia="zh-CN"/>
              </w:rPr>
            </w:pPr>
            <w:r>
              <w:rPr>
                <w:rFonts w:hint="eastAsia" w:ascii="仿宋" w:hAnsi="仿宋" w:eastAsia="仿宋" w:cs="仿宋"/>
                <w:i w:val="0"/>
                <w:iCs w:val="0"/>
                <w:color w:val="000000"/>
                <w:kern w:val="0"/>
                <w:sz w:val="24"/>
                <w:szCs w:val="24"/>
                <w:u w:val="none"/>
                <w:lang w:val="en-US" w:eastAsia="zh-CN" w:bidi="ar"/>
              </w:rPr>
              <w:t>消防应急照明灯</w:t>
            </w:r>
          </w:p>
        </w:tc>
        <w:tc>
          <w:tcPr>
            <w:tcW w:w="1470" w:type="dxa"/>
            <w:noWrap w:val="0"/>
            <w:vAlign w:val="center"/>
          </w:tcPr>
          <w:p>
            <w:pPr>
              <w:adjustRightInd w:val="0"/>
              <w:snapToGrid w:val="0"/>
              <w:spacing w:line="240" w:lineRule="auto"/>
              <w:jc w:val="center"/>
              <w:rPr>
                <w:rFonts w:hint="eastAsia" w:ascii="仿宋" w:hAnsi="仿宋" w:eastAsia="仿宋" w:cs="仿宋"/>
                <w:color w:val="000000"/>
                <w:sz w:val="24"/>
                <w:szCs w:val="24"/>
                <w:lang w:val="en-US" w:eastAsia="zh-CN"/>
              </w:rPr>
            </w:pPr>
            <w:r>
              <w:rPr>
                <w:rFonts w:hint="eastAsia" w:ascii="仿宋" w:hAnsi="仿宋" w:eastAsia="仿宋" w:cs="仿宋"/>
                <w:sz w:val="24"/>
                <w:szCs w:val="24"/>
                <w:highlight w:val="none"/>
                <w:lang w:val="en-US" w:eastAsia="zh-CN"/>
              </w:rPr>
              <w:t>4台</w:t>
            </w:r>
          </w:p>
        </w:tc>
        <w:tc>
          <w:tcPr>
            <w:tcW w:w="1470" w:type="dxa"/>
            <w:noWrap w:val="0"/>
            <w:vAlign w:val="center"/>
          </w:tcPr>
          <w:p>
            <w:pPr>
              <w:adjustRightInd w:val="0"/>
              <w:snapToGrid w:val="0"/>
              <w:spacing w:line="24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auto"/>
                <w:kern w:val="2"/>
                <w:sz w:val="24"/>
                <w:szCs w:val="24"/>
                <w:highlight w:val="none"/>
                <w:lang w:val="en-US" w:eastAsia="zh-CN" w:bidi="ar-SA"/>
              </w:rPr>
              <w:t>2台</w:t>
            </w:r>
          </w:p>
        </w:tc>
        <w:tc>
          <w:tcPr>
            <w:tcW w:w="1299" w:type="dxa"/>
            <w:noWrap w:val="0"/>
            <w:vAlign w:val="center"/>
          </w:tcPr>
          <w:p>
            <w:pPr>
              <w:adjustRightInd w:val="0"/>
              <w:snapToGrid w:val="0"/>
              <w:spacing w:line="24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auto"/>
                <w:kern w:val="2"/>
                <w:sz w:val="24"/>
                <w:szCs w:val="24"/>
                <w:highlight w:val="none"/>
                <w:lang w:val="en-US" w:eastAsia="zh-CN" w:bidi="ar-SA"/>
              </w:rPr>
              <w:t>2台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noWrap w:val="0"/>
            <w:vAlign w:val="center"/>
          </w:tcPr>
          <w:p>
            <w:pPr>
              <w:adjustRightInd w:val="0"/>
              <w:snapToGrid w:val="0"/>
              <w:spacing w:line="44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20</w:t>
            </w:r>
          </w:p>
        </w:tc>
        <w:tc>
          <w:tcPr>
            <w:tcW w:w="3815" w:type="dxa"/>
            <w:noWrap w:val="0"/>
            <w:vAlign w:val="center"/>
          </w:tcPr>
          <w:p>
            <w:pPr>
              <w:keepNext w:val="0"/>
              <w:keepLines w:val="0"/>
              <w:widowControl/>
              <w:suppressLineNumbers w:val="0"/>
              <w:jc w:val="center"/>
              <w:textAlignment w:val="center"/>
              <w:rPr>
                <w:rFonts w:hint="eastAsia" w:ascii="仿宋" w:hAnsi="仿宋" w:eastAsia="仿宋" w:cs="仿宋"/>
                <w:color w:val="000000"/>
                <w:sz w:val="24"/>
                <w:szCs w:val="24"/>
                <w:highlight w:val="none"/>
                <w:lang w:eastAsia="zh-CN"/>
              </w:rPr>
            </w:pPr>
            <w:r>
              <w:rPr>
                <w:rFonts w:hint="eastAsia" w:ascii="仿宋" w:hAnsi="仿宋" w:eastAsia="仿宋" w:cs="仿宋"/>
                <w:i w:val="0"/>
                <w:iCs w:val="0"/>
                <w:color w:val="000000"/>
                <w:kern w:val="0"/>
                <w:sz w:val="24"/>
                <w:szCs w:val="24"/>
                <w:u w:val="none"/>
                <w:lang w:val="en-US" w:eastAsia="zh-CN" w:bidi="ar"/>
              </w:rPr>
              <w:t>室内消火栓</w:t>
            </w:r>
          </w:p>
        </w:tc>
        <w:tc>
          <w:tcPr>
            <w:tcW w:w="1470" w:type="dxa"/>
            <w:noWrap w:val="0"/>
            <w:vAlign w:val="center"/>
          </w:tcPr>
          <w:p>
            <w:pPr>
              <w:adjustRightInd w:val="0"/>
              <w:snapToGrid w:val="0"/>
              <w:spacing w:line="24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auto"/>
                <w:sz w:val="24"/>
                <w:szCs w:val="24"/>
                <w:highlight w:val="none"/>
                <w:lang w:val="en-US" w:eastAsia="zh-CN"/>
              </w:rPr>
              <w:t>4台</w:t>
            </w:r>
          </w:p>
        </w:tc>
        <w:tc>
          <w:tcPr>
            <w:tcW w:w="1470" w:type="dxa"/>
            <w:noWrap w:val="0"/>
            <w:vAlign w:val="center"/>
          </w:tcPr>
          <w:p>
            <w:pPr>
              <w:adjustRightInd w:val="0"/>
              <w:snapToGrid w:val="0"/>
              <w:spacing w:line="24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auto"/>
                <w:sz w:val="24"/>
                <w:szCs w:val="24"/>
                <w:highlight w:val="none"/>
                <w:lang w:val="en-US" w:eastAsia="zh-CN"/>
              </w:rPr>
              <w:t>2台</w:t>
            </w:r>
          </w:p>
        </w:tc>
        <w:tc>
          <w:tcPr>
            <w:tcW w:w="1299" w:type="dxa"/>
            <w:noWrap w:val="0"/>
            <w:vAlign w:val="center"/>
          </w:tcPr>
          <w:p>
            <w:pPr>
              <w:adjustRightInd w:val="0"/>
              <w:snapToGrid w:val="0"/>
              <w:spacing w:line="24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auto"/>
                <w:sz w:val="24"/>
                <w:szCs w:val="24"/>
                <w:highlight w:val="none"/>
                <w:lang w:val="en-US" w:eastAsia="zh-CN"/>
              </w:rPr>
              <w:t>2台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noWrap w:val="0"/>
            <w:vAlign w:val="center"/>
          </w:tcPr>
          <w:p>
            <w:pPr>
              <w:adjustRightInd w:val="0"/>
              <w:snapToGrid w:val="0"/>
              <w:spacing w:line="44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21</w:t>
            </w:r>
          </w:p>
        </w:tc>
        <w:tc>
          <w:tcPr>
            <w:tcW w:w="3815" w:type="dxa"/>
            <w:noWrap w:val="0"/>
            <w:vAlign w:val="center"/>
          </w:tcPr>
          <w:p>
            <w:pPr>
              <w:keepNext w:val="0"/>
              <w:keepLines w:val="0"/>
              <w:widowControl/>
              <w:suppressLineNumbers w:val="0"/>
              <w:jc w:val="center"/>
              <w:textAlignment w:val="center"/>
              <w:rPr>
                <w:rFonts w:hint="eastAsia" w:ascii="仿宋" w:hAnsi="仿宋" w:eastAsia="仿宋" w:cs="仿宋"/>
                <w:color w:val="000000"/>
                <w:sz w:val="24"/>
                <w:szCs w:val="24"/>
                <w:highlight w:val="none"/>
                <w:lang w:eastAsia="zh-CN"/>
              </w:rPr>
            </w:pPr>
            <w:r>
              <w:rPr>
                <w:rFonts w:hint="eastAsia" w:ascii="仿宋" w:hAnsi="仿宋" w:eastAsia="仿宋" w:cs="仿宋"/>
                <w:i w:val="0"/>
                <w:iCs w:val="0"/>
                <w:color w:val="000000"/>
                <w:kern w:val="0"/>
                <w:sz w:val="24"/>
                <w:szCs w:val="24"/>
                <w:u w:val="none"/>
                <w:lang w:val="en-US" w:eastAsia="zh-CN" w:bidi="ar"/>
              </w:rPr>
              <w:t>中性笔</w:t>
            </w:r>
          </w:p>
        </w:tc>
        <w:tc>
          <w:tcPr>
            <w:tcW w:w="147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40" w:lineRule="exact"/>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auto"/>
                <w:sz w:val="24"/>
                <w:szCs w:val="24"/>
                <w:highlight w:val="none"/>
                <w:lang w:val="en-US" w:eastAsia="zh-CN"/>
              </w:rPr>
              <w:t>48支</w:t>
            </w:r>
          </w:p>
        </w:tc>
        <w:tc>
          <w:tcPr>
            <w:tcW w:w="147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40" w:lineRule="exact"/>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i w:val="0"/>
                <w:iCs w:val="0"/>
                <w:color w:val="auto"/>
                <w:kern w:val="2"/>
                <w:sz w:val="24"/>
                <w:szCs w:val="24"/>
                <w:highlight w:val="none"/>
                <w:lang w:val="en-US" w:eastAsia="zh-CN" w:bidi="ar-SA"/>
              </w:rPr>
              <w:t>24支</w:t>
            </w:r>
          </w:p>
        </w:tc>
        <w:tc>
          <w:tcPr>
            <w:tcW w:w="1299"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40" w:lineRule="exact"/>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i w:val="0"/>
                <w:iCs w:val="0"/>
                <w:color w:val="auto"/>
                <w:kern w:val="2"/>
                <w:sz w:val="24"/>
                <w:szCs w:val="24"/>
                <w:highlight w:val="none"/>
                <w:lang w:val="en-US" w:eastAsia="zh-CN" w:bidi="ar-SA"/>
              </w:rPr>
              <w:t>24支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noWrap w:val="0"/>
            <w:vAlign w:val="center"/>
          </w:tcPr>
          <w:p>
            <w:pPr>
              <w:adjustRightInd w:val="0"/>
              <w:snapToGrid w:val="0"/>
              <w:spacing w:line="44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22</w:t>
            </w:r>
          </w:p>
        </w:tc>
        <w:tc>
          <w:tcPr>
            <w:tcW w:w="3815" w:type="dxa"/>
            <w:noWrap w:val="0"/>
            <w:vAlign w:val="center"/>
          </w:tcPr>
          <w:p>
            <w:pPr>
              <w:keepNext w:val="0"/>
              <w:keepLines w:val="0"/>
              <w:widowControl/>
              <w:suppressLineNumbers w:val="0"/>
              <w:jc w:val="center"/>
              <w:textAlignment w:val="center"/>
              <w:rPr>
                <w:rFonts w:hint="eastAsia" w:ascii="仿宋" w:hAnsi="仿宋" w:eastAsia="仿宋" w:cs="仿宋"/>
                <w:color w:val="000000"/>
                <w:sz w:val="24"/>
                <w:szCs w:val="24"/>
                <w:highlight w:val="none"/>
                <w:lang w:eastAsia="zh-CN"/>
              </w:rPr>
            </w:pPr>
            <w:r>
              <w:rPr>
                <w:rFonts w:hint="eastAsia" w:ascii="仿宋" w:hAnsi="仿宋" w:eastAsia="仿宋" w:cs="仿宋"/>
                <w:i w:val="0"/>
                <w:iCs w:val="0"/>
                <w:color w:val="000000"/>
                <w:kern w:val="0"/>
                <w:sz w:val="24"/>
                <w:szCs w:val="24"/>
                <w:u w:val="none"/>
                <w:lang w:val="en-US" w:eastAsia="zh-CN" w:bidi="ar"/>
              </w:rPr>
              <w:t>铅笔</w:t>
            </w:r>
          </w:p>
        </w:tc>
        <w:tc>
          <w:tcPr>
            <w:tcW w:w="147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40" w:lineRule="exact"/>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auto"/>
                <w:sz w:val="24"/>
                <w:szCs w:val="24"/>
                <w:highlight w:val="none"/>
                <w:lang w:val="en-US" w:eastAsia="zh-CN"/>
              </w:rPr>
              <w:t>48支</w:t>
            </w:r>
          </w:p>
        </w:tc>
        <w:tc>
          <w:tcPr>
            <w:tcW w:w="147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40" w:lineRule="exact"/>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i w:val="0"/>
                <w:iCs w:val="0"/>
                <w:color w:val="auto"/>
                <w:kern w:val="2"/>
                <w:sz w:val="24"/>
                <w:szCs w:val="24"/>
                <w:highlight w:val="none"/>
                <w:lang w:val="en-US" w:eastAsia="zh-CN" w:bidi="ar-SA"/>
              </w:rPr>
              <w:t>24支</w:t>
            </w:r>
          </w:p>
        </w:tc>
        <w:tc>
          <w:tcPr>
            <w:tcW w:w="1299"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40" w:lineRule="exact"/>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i w:val="0"/>
                <w:iCs w:val="0"/>
                <w:color w:val="auto"/>
                <w:kern w:val="2"/>
                <w:sz w:val="24"/>
                <w:szCs w:val="24"/>
                <w:highlight w:val="none"/>
                <w:lang w:val="en-US" w:eastAsia="zh-CN" w:bidi="ar-SA"/>
              </w:rPr>
              <w:t>24支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noWrap w:val="0"/>
            <w:vAlign w:val="center"/>
          </w:tcPr>
          <w:p>
            <w:pPr>
              <w:adjustRightInd w:val="0"/>
              <w:snapToGrid w:val="0"/>
              <w:spacing w:line="44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23</w:t>
            </w:r>
          </w:p>
        </w:tc>
        <w:tc>
          <w:tcPr>
            <w:tcW w:w="3815" w:type="dxa"/>
            <w:noWrap w:val="0"/>
            <w:vAlign w:val="center"/>
          </w:tcPr>
          <w:p>
            <w:pPr>
              <w:keepNext w:val="0"/>
              <w:keepLines w:val="0"/>
              <w:widowControl/>
              <w:suppressLineNumbers w:val="0"/>
              <w:jc w:val="center"/>
              <w:textAlignment w:val="center"/>
              <w:rPr>
                <w:rFonts w:hint="eastAsia" w:ascii="仿宋" w:hAnsi="仿宋" w:eastAsia="仿宋" w:cs="仿宋"/>
                <w:color w:val="000000"/>
                <w:sz w:val="24"/>
                <w:szCs w:val="24"/>
                <w:highlight w:val="none"/>
                <w:lang w:eastAsia="zh-CN"/>
              </w:rPr>
            </w:pPr>
            <w:r>
              <w:rPr>
                <w:rFonts w:hint="eastAsia" w:ascii="仿宋" w:hAnsi="仿宋" w:eastAsia="仿宋" w:cs="仿宋"/>
                <w:i w:val="0"/>
                <w:iCs w:val="0"/>
                <w:color w:val="000000"/>
                <w:kern w:val="0"/>
                <w:sz w:val="24"/>
                <w:szCs w:val="24"/>
                <w:u w:val="none"/>
                <w:lang w:val="en-US" w:eastAsia="zh-CN" w:bidi="ar"/>
              </w:rPr>
              <w:t>圆珠笔</w:t>
            </w:r>
          </w:p>
        </w:tc>
        <w:tc>
          <w:tcPr>
            <w:tcW w:w="147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40" w:lineRule="exact"/>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auto"/>
                <w:sz w:val="24"/>
                <w:szCs w:val="24"/>
                <w:lang w:val="en-US" w:eastAsia="zh-CN"/>
              </w:rPr>
              <w:t>48</w:t>
            </w:r>
            <w:r>
              <w:rPr>
                <w:rFonts w:hint="eastAsia" w:ascii="仿宋" w:hAnsi="仿宋" w:eastAsia="仿宋" w:cs="仿宋"/>
                <w:color w:val="auto"/>
                <w:sz w:val="24"/>
                <w:szCs w:val="24"/>
              </w:rPr>
              <w:t>支</w:t>
            </w:r>
          </w:p>
        </w:tc>
        <w:tc>
          <w:tcPr>
            <w:tcW w:w="147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40" w:lineRule="exact"/>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auto"/>
                <w:sz w:val="24"/>
                <w:szCs w:val="24"/>
                <w:lang w:val="en-US" w:eastAsia="zh-CN"/>
              </w:rPr>
              <w:t>24</w:t>
            </w:r>
            <w:r>
              <w:rPr>
                <w:rFonts w:hint="eastAsia" w:ascii="仿宋" w:hAnsi="仿宋" w:eastAsia="仿宋" w:cs="仿宋"/>
                <w:color w:val="auto"/>
                <w:sz w:val="24"/>
                <w:szCs w:val="24"/>
              </w:rPr>
              <w:t>支</w:t>
            </w:r>
          </w:p>
        </w:tc>
        <w:tc>
          <w:tcPr>
            <w:tcW w:w="1299"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40" w:lineRule="exact"/>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auto"/>
                <w:sz w:val="24"/>
                <w:szCs w:val="24"/>
                <w:lang w:val="en-US" w:eastAsia="zh-CN"/>
              </w:rPr>
              <w:t>24</w:t>
            </w:r>
            <w:r>
              <w:rPr>
                <w:rFonts w:hint="eastAsia" w:ascii="仿宋" w:hAnsi="仿宋" w:eastAsia="仿宋" w:cs="仿宋"/>
                <w:color w:val="auto"/>
                <w:sz w:val="24"/>
                <w:szCs w:val="24"/>
              </w:rPr>
              <w:t>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noWrap w:val="0"/>
            <w:vAlign w:val="center"/>
          </w:tcPr>
          <w:p>
            <w:pPr>
              <w:adjustRightInd w:val="0"/>
              <w:snapToGrid w:val="0"/>
              <w:spacing w:line="44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24</w:t>
            </w:r>
          </w:p>
        </w:tc>
        <w:tc>
          <w:tcPr>
            <w:tcW w:w="3815" w:type="dxa"/>
            <w:noWrap w:val="0"/>
            <w:vAlign w:val="center"/>
          </w:tcPr>
          <w:p>
            <w:pPr>
              <w:keepNext w:val="0"/>
              <w:keepLines w:val="0"/>
              <w:widowControl/>
              <w:suppressLineNumbers w:val="0"/>
              <w:jc w:val="center"/>
              <w:textAlignment w:val="center"/>
              <w:rPr>
                <w:rFonts w:hint="eastAsia" w:ascii="仿宋" w:hAnsi="仿宋" w:eastAsia="仿宋" w:cs="仿宋"/>
                <w:color w:val="000000"/>
                <w:sz w:val="24"/>
                <w:szCs w:val="24"/>
                <w:highlight w:val="none"/>
                <w:lang w:eastAsia="zh-CN"/>
              </w:rPr>
            </w:pPr>
            <w:r>
              <w:rPr>
                <w:rFonts w:hint="eastAsia" w:ascii="仿宋" w:hAnsi="仿宋" w:eastAsia="仿宋" w:cs="仿宋"/>
                <w:i w:val="0"/>
                <w:iCs w:val="0"/>
                <w:color w:val="000000"/>
                <w:kern w:val="0"/>
                <w:sz w:val="24"/>
                <w:szCs w:val="24"/>
                <w:u w:val="none"/>
                <w:lang w:val="en-US" w:eastAsia="zh-CN" w:bidi="ar"/>
              </w:rPr>
              <w:t>橡皮</w:t>
            </w:r>
          </w:p>
        </w:tc>
        <w:tc>
          <w:tcPr>
            <w:tcW w:w="1470" w:type="dxa"/>
            <w:noWrap w:val="0"/>
            <w:vAlign w:val="center"/>
          </w:tcPr>
          <w:p>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auto"/>
                <w:kern w:val="2"/>
                <w:sz w:val="24"/>
                <w:szCs w:val="24"/>
                <w:highlight w:val="none"/>
                <w:vertAlign w:val="baseline"/>
                <w:lang w:val="en-US" w:eastAsia="zh-CN" w:bidi="ar-SA"/>
              </w:rPr>
              <w:t>20块</w:t>
            </w:r>
          </w:p>
        </w:tc>
        <w:tc>
          <w:tcPr>
            <w:tcW w:w="1470" w:type="dxa"/>
            <w:noWrap w:val="0"/>
            <w:vAlign w:val="center"/>
          </w:tcPr>
          <w:p>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auto"/>
                <w:kern w:val="2"/>
                <w:sz w:val="24"/>
                <w:szCs w:val="24"/>
                <w:highlight w:val="none"/>
                <w:vertAlign w:val="baseline"/>
                <w:lang w:val="en-US" w:eastAsia="zh-CN" w:bidi="ar-SA"/>
              </w:rPr>
              <w:t>10块</w:t>
            </w:r>
          </w:p>
        </w:tc>
        <w:tc>
          <w:tcPr>
            <w:tcW w:w="1299" w:type="dxa"/>
            <w:noWrap w:val="0"/>
            <w:vAlign w:val="center"/>
          </w:tcPr>
          <w:p>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auto"/>
                <w:kern w:val="2"/>
                <w:sz w:val="24"/>
                <w:szCs w:val="24"/>
                <w:highlight w:val="none"/>
                <w:vertAlign w:val="baseline"/>
                <w:lang w:val="en-US" w:eastAsia="zh-CN" w:bidi="ar-SA"/>
              </w:rPr>
              <w:t>10块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noWrap w:val="0"/>
            <w:vAlign w:val="center"/>
          </w:tcPr>
          <w:p>
            <w:pPr>
              <w:adjustRightInd w:val="0"/>
              <w:snapToGrid w:val="0"/>
              <w:spacing w:line="44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25</w:t>
            </w:r>
          </w:p>
        </w:tc>
        <w:tc>
          <w:tcPr>
            <w:tcW w:w="3815" w:type="dxa"/>
            <w:noWrap w:val="0"/>
            <w:vAlign w:val="center"/>
          </w:tcPr>
          <w:p>
            <w:pPr>
              <w:keepNext w:val="0"/>
              <w:keepLines w:val="0"/>
              <w:widowControl/>
              <w:suppressLineNumbers w:val="0"/>
              <w:jc w:val="center"/>
              <w:textAlignment w:val="center"/>
              <w:rPr>
                <w:rFonts w:hint="eastAsia" w:ascii="仿宋" w:hAnsi="仿宋" w:eastAsia="仿宋" w:cs="仿宋"/>
                <w:color w:val="000000"/>
                <w:sz w:val="24"/>
                <w:szCs w:val="24"/>
                <w:highlight w:val="none"/>
                <w:lang w:eastAsia="zh-CN"/>
              </w:rPr>
            </w:pPr>
            <w:r>
              <w:rPr>
                <w:rFonts w:hint="eastAsia" w:ascii="仿宋" w:hAnsi="仿宋" w:eastAsia="仿宋" w:cs="仿宋"/>
                <w:i w:val="0"/>
                <w:iCs w:val="0"/>
                <w:color w:val="000000"/>
                <w:kern w:val="0"/>
                <w:sz w:val="24"/>
                <w:szCs w:val="24"/>
                <w:u w:val="none"/>
                <w:lang w:val="en-US" w:eastAsia="zh-CN" w:bidi="ar"/>
              </w:rPr>
              <w:t>课业</w:t>
            </w:r>
            <w:r>
              <w:rPr>
                <w:rFonts w:hint="eastAsia" w:ascii="宋体" w:hAnsi="宋体" w:eastAsia="宋体" w:cs="宋体"/>
                <w:bCs/>
                <w:color w:val="auto"/>
                <w:sz w:val="21"/>
                <w:szCs w:val="21"/>
                <w:highlight w:val="none"/>
                <w:lang w:val="en-US" w:eastAsia="zh-CN"/>
              </w:rPr>
              <w:t>簿</w:t>
            </w:r>
            <w:r>
              <w:rPr>
                <w:rFonts w:hint="eastAsia" w:ascii="仿宋" w:hAnsi="仿宋" w:eastAsia="仿宋" w:cs="仿宋"/>
                <w:i w:val="0"/>
                <w:iCs w:val="0"/>
                <w:color w:val="000000"/>
                <w:kern w:val="0"/>
                <w:sz w:val="24"/>
                <w:szCs w:val="24"/>
                <w:u w:val="none"/>
                <w:lang w:val="en-US" w:eastAsia="zh-CN" w:bidi="ar"/>
              </w:rPr>
              <w:t>册</w:t>
            </w:r>
          </w:p>
        </w:tc>
        <w:tc>
          <w:tcPr>
            <w:tcW w:w="1470" w:type="dxa"/>
            <w:noWrap w:val="0"/>
            <w:vAlign w:val="center"/>
          </w:tcPr>
          <w:p>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auto"/>
                <w:kern w:val="2"/>
                <w:sz w:val="24"/>
                <w:szCs w:val="24"/>
                <w:highlight w:val="none"/>
                <w:vertAlign w:val="baseline"/>
                <w:lang w:val="en-US" w:eastAsia="zh-CN" w:bidi="ar-SA"/>
              </w:rPr>
              <w:t>20本</w:t>
            </w:r>
          </w:p>
        </w:tc>
        <w:tc>
          <w:tcPr>
            <w:tcW w:w="1470" w:type="dxa"/>
            <w:noWrap w:val="0"/>
            <w:vAlign w:val="center"/>
          </w:tcPr>
          <w:p>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auto"/>
                <w:kern w:val="2"/>
                <w:sz w:val="24"/>
                <w:szCs w:val="24"/>
                <w:highlight w:val="none"/>
                <w:vertAlign w:val="baseline"/>
                <w:lang w:val="en-US" w:eastAsia="zh-CN" w:bidi="ar-SA"/>
              </w:rPr>
              <w:t>10本</w:t>
            </w:r>
          </w:p>
        </w:tc>
        <w:tc>
          <w:tcPr>
            <w:tcW w:w="1299" w:type="dxa"/>
            <w:noWrap w:val="0"/>
            <w:vAlign w:val="center"/>
          </w:tcPr>
          <w:p>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auto"/>
                <w:kern w:val="2"/>
                <w:sz w:val="24"/>
                <w:szCs w:val="24"/>
                <w:highlight w:val="none"/>
                <w:vertAlign w:val="baseline"/>
                <w:lang w:val="en-US" w:eastAsia="zh-CN" w:bidi="ar-SA"/>
              </w:rPr>
              <w:t>10本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noWrap w:val="0"/>
            <w:vAlign w:val="center"/>
          </w:tcPr>
          <w:p>
            <w:pPr>
              <w:adjustRightInd w:val="0"/>
              <w:snapToGrid w:val="0"/>
              <w:spacing w:line="44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26</w:t>
            </w:r>
          </w:p>
        </w:tc>
        <w:tc>
          <w:tcPr>
            <w:tcW w:w="3815" w:type="dxa"/>
            <w:noWrap w:val="0"/>
            <w:vAlign w:val="center"/>
          </w:tcPr>
          <w:p>
            <w:pPr>
              <w:keepNext w:val="0"/>
              <w:keepLines w:val="0"/>
              <w:widowControl/>
              <w:suppressLineNumbers w:val="0"/>
              <w:jc w:val="center"/>
              <w:textAlignment w:val="center"/>
              <w:rPr>
                <w:rFonts w:hint="eastAsia" w:ascii="仿宋" w:hAnsi="仿宋" w:eastAsia="仿宋" w:cs="仿宋"/>
                <w:color w:val="000000"/>
                <w:sz w:val="24"/>
                <w:szCs w:val="24"/>
                <w:highlight w:val="none"/>
                <w:lang w:eastAsia="zh-CN"/>
              </w:rPr>
            </w:pPr>
            <w:r>
              <w:rPr>
                <w:rFonts w:hint="eastAsia" w:ascii="仿宋" w:hAnsi="仿宋" w:eastAsia="仿宋" w:cs="仿宋"/>
                <w:i w:val="0"/>
                <w:iCs w:val="0"/>
                <w:color w:val="000000"/>
                <w:kern w:val="0"/>
                <w:sz w:val="24"/>
                <w:szCs w:val="24"/>
                <w:u w:val="none"/>
                <w:lang w:val="en-US" w:eastAsia="zh-CN" w:bidi="ar"/>
              </w:rPr>
              <w:t>卷笔刀</w:t>
            </w:r>
          </w:p>
        </w:tc>
        <w:tc>
          <w:tcPr>
            <w:tcW w:w="147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40" w:lineRule="exact"/>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auto"/>
                <w:sz w:val="24"/>
                <w:szCs w:val="24"/>
                <w:highlight w:val="none"/>
                <w:lang w:val="en-US" w:eastAsia="zh-CN"/>
              </w:rPr>
              <w:t>6个</w:t>
            </w:r>
          </w:p>
        </w:tc>
        <w:tc>
          <w:tcPr>
            <w:tcW w:w="147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40" w:lineRule="exact"/>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i w:val="0"/>
                <w:iCs w:val="0"/>
                <w:color w:val="auto"/>
                <w:kern w:val="2"/>
                <w:sz w:val="24"/>
                <w:szCs w:val="24"/>
                <w:highlight w:val="none"/>
                <w:lang w:val="en-US" w:eastAsia="zh-CN" w:bidi="ar-SA"/>
              </w:rPr>
              <w:t>3个</w:t>
            </w:r>
          </w:p>
        </w:tc>
        <w:tc>
          <w:tcPr>
            <w:tcW w:w="1299" w:type="dxa"/>
            <w:noWrap w:val="0"/>
            <w:vAlign w:val="center"/>
          </w:tcPr>
          <w:p>
            <w:pPr>
              <w:keepNext w:val="0"/>
              <w:keepLines w:val="0"/>
              <w:pageBreakBefore w:val="0"/>
              <w:widowControl w:val="0"/>
              <w:kinsoku/>
              <w:wordWrap/>
              <w:overflowPunct/>
              <w:topLinePunct w:val="0"/>
              <w:autoSpaceDE/>
              <w:autoSpaceDN/>
              <w:bidi w:val="0"/>
              <w:adjustRightInd w:val="0"/>
              <w:snapToGrid w:val="0"/>
              <w:spacing w:line="440" w:lineRule="exact"/>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i w:val="0"/>
                <w:iCs w:val="0"/>
                <w:color w:val="auto"/>
                <w:kern w:val="2"/>
                <w:sz w:val="24"/>
                <w:szCs w:val="24"/>
                <w:highlight w:val="none"/>
                <w:lang w:val="en-US" w:eastAsia="zh-CN" w:bidi="ar-SA"/>
              </w:rPr>
              <w:t>3个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noWrap w:val="0"/>
            <w:vAlign w:val="center"/>
          </w:tcPr>
          <w:p>
            <w:pPr>
              <w:adjustRightInd w:val="0"/>
              <w:snapToGrid w:val="0"/>
              <w:spacing w:line="44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27</w:t>
            </w:r>
          </w:p>
        </w:tc>
        <w:tc>
          <w:tcPr>
            <w:tcW w:w="3815" w:type="dxa"/>
            <w:noWrap w:val="0"/>
            <w:vAlign w:val="center"/>
          </w:tcPr>
          <w:p>
            <w:pPr>
              <w:keepNext w:val="0"/>
              <w:keepLines w:val="0"/>
              <w:widowControl/>
              <w:suppressLineNumbers w:val="0"/>
              <w:jc w:val="center"/>
              <w:textAlignment w:val="center"/>
              <w:rPr>
                <w:rFonts w:hint="eastAsia" w:ascii="仿宋" w:hAnsi="仿宋" w:eastAsia="仿宋" w:cs="仿宋"/>
                <w:color w:val="000000"/>
                <w:sz w:val="24"/>
                <w:szCs w:val="24"/>
                <w:highlight w:val="none"/>
                <w:lang w:eastAsia="zh-CN"/>
              </w:rPr>
            </w:pPr>
            <w:r>
              <w:rPr>
                <w:rFonts w:hint="eastAsia" w:ascii="仿宋" w:hAnsi="仿宋" w:eastAsia="仿宋" w:cs="仿宋"/>
                <w:i w:val="0"/>
                <w:iCs w:val="0"/>
                <w:color w:val="000000"/>
                <w:kern w:val="0"/>
                <w:sz w:val="24"/>
                <w:szCs w:val="24"/>
                <w:u w:val="none"/>
                <w:lang w:val="en-US" w:eastAsia="zh-CN" w:bidi="ar"/>
              </w:rPr>
              <w:t>学生书包</w:t>
            </w:r>
          </w:p>
        </w:tc>
        <w:tc>
          <w:tcPr>
            <w:tcW w:w="1470" w:type="dxa"/>
            <w:noWrap w:val="0"/>
            <w:vAlign w:val="center"/>
          </w:tcPr>
          <w:p>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auto"/>
                <w:kern w:val="2"/>
                <w:sz w:val="24"/>
                <w:szCs w:val="24"/>
                <w:vertAlign w:val="baseline"/>
                <w:lang w:val="en-US" w:eastAsia="zh-CN" w:bidi="ar-SA"/>
              </w:rPr>
              <w:t>3个</w:t>
            </w:r>
          </w:p>
        </w:tc>
        <w:tc>
          <w:tcPr>
            <w:tcW w:w="1470" w:type="dxa"/>
            <w:noWrap w:val="0"/>
            <w:vAlign w:val="center"/>
          </w:tcPr>
          <w:p>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auto"/>
                <w:kern w:val="2"/>
                <w:sz w:val="24"/>
                <w:szCs w:val="24"/>
                <w:vertAlign w:val="baseline"/>
                <w:lang w:val="en-US" w:eastAsia="zh-CN" w:bidi="ar-SA"/>
              </w:rPr>
              <w:t>2个</w:t>
            </w:r>
          </w:p>
        </w:tc>
        <w:tc>
          <w:tcPr>
            <w:tcW w:w="1299" w:type="dxa"/>
            <w:noWrap w:val="0"/>
            <w:vAlign w:val="center"/>
          </w:tcPr>
          <w:p>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auto"/>
                <w:kern w:val="2"/>
                <w:sz w:val="24"/>
                <w:szCs w:val="24"/>
                <w:vertAlign w:val="baseline"/>
                <w:lang w:val="en-US" w:eastAsia="zh-CN" w:bidi="ar-SA"/>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noWrap w:val="0"/>
            <w:vAlign w:val="center"/>
          </w:tcPr>
          <w:p>
            <w:pPr>
              <w:adjustRightInd w:val="0"/>
              <w:snapToGrid w:val="0"/>
              <w:spacing w:line="44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28</w:t>
            </w:r>
          </w:p>
        </w:tc>
        <w:tc>
          <w:tcPr>
            <w:tcW w:w="3815" w:type="dxa"/>
            <w:noWrap w:val="0"/>
            <w:vAlign w:val="center"/>
          </w:tcPr>
          <w:p>
            <w:pPr>
              <w:keepNext w:val="0"/>
              <w:keepLines w:val="0"/>
              <w:widowControl/>
              <w:suppressLineNumbers w:val="0"/>
              <w:jc w:val="center"/>
              <w:textAlignment w:val="center"/>
              <w:rPr>
                <w:rFonts w:hint="eastAsia" w:ascii="仿宋" w:hAnsi="仿宋" w:eastAsia="仿宋" w:cs="仿宋"/>
                <w:color w:val="000000"/>
                <w:sz w:val="24"/>
                <w:szCs w:val="24"/>
                <w:highlight w:val="none"/>
                <w:lang w:eastAsia="zh-CN"/>
              </w:rPr>
            </w:pPr>
            <w:r>
              <w:rPr>
                <w:rFonts w:hint="eastAsia" w:ascii="仿宋" w:hAnsi="仿宋" w:eastAsia="仿宋" w:cs="仿宋"/>
                <w:i w:val="0"/>
                <w:iCs w:val="0"/>
                <w:color w:val="000000"/>
                <w:kern w:val="0"/>
                <w:sz w:val="24"/>
                <w:szCs w:val="24"/>
                <w:u w:val="none"/>
                <w:lang w:val="en-US" w:eastAsia="zh-CN" w:bidi="ar"/>
              </w:rPr>
              <w:t>洗发水</w:t>
            </w:r>
          </w:p>
        </w:tc>
        <w:tc>
          <w:tcPr>
            <w:tcW w:w="147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kern w:val="2"/>
                <w:sz w:val="24"/>
                <w:szCs w:val="24"/>
                <w:highlight w:val="none"/>
                <w:vertAlign w:val="baseline"/>
                <w:lang w:val="en-US" w:eastAsia="zh-CN" w:bidi="ar-SA"/>
              </w:rPr>
              <w:t>2个独立包装（总量不少于1000mL）</w:t>
            </w:r>
          </w:p>
        </w:tc>
        <w:tc>
          <w:tcPr>
            <w:tcW w:w="147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kern w:val="2"/>
                <w:sz w:val="24"/>
                <w:szCs w:val="24"/>
                <w:highlight w:val="none"/>
                <w:vertAlign w:val="baseline"/>
                <w:lang w:val="en-US" w:eastAsia="zh-CN" w:bidi="ar-SA"/>
              </w:rPr>
              <w:t>1个独立包装（不少于500mL）</w:t>
            </w:r>
          </w:p>
        </w:tc>
        <w:tc>
          <w:tcPr>
            <w:tcW w:w="1299"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kern w:val="2"/>
                <w:sz w:val="24"/>
                <w:szCs w:val="24"/>
                <w:highlight w:val="none"/>
                <w:vertAlign w:val="baseline"/>
                <w:lang w:val="en-US" w:eastAsia="zh-CN" w:bidi="ar-SA"/>
              </w:rPr>
              <w:t>1个独立包装（不少于500mL）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noWrap w:val="0"/>
            <w:vAlign w:val="center"/>
          </w:tcPr>
          <w:p>
            <w:pPr>
              <w:adjustRightInd w:val="0"/>
              <w:snapToGrid w:val="0"/>
              <w:spacing w:line="44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29</w:t>
            </w:r>
          </w:p>
        </w:tc>
        <w:tc>
          <w:tcPr>
            <w:tcW w:w="3815" w:type="dxa"/>
            <w:noWrap w:val="0"/>
            <w:vAlign w:val="center"/>
          </w:tcPr>
          <w:p>
            <w:pPr>
              <w:keepNext w:val="0"/>
              <w:keepLines w:val="0"/>
              <w:widowControl/>
              <w:suppressLineNumbers w:val="0"/>
              <w:jc w:val="center"/>
              <w:textAlignment w:val="center"/>
              <w:rPr>
                <w:rFonts w:hint="eastAsia" w:ascii="仿宋" w:hAnsi="仿宋" w:eastAsia="仿宋" w:cs="仿宋"/>
                <w:color w:val="000000"/>
                <w:sz w:val="24"/>
                <w:szCs w:val="24"/>
                <w:highlight w:val="none"/>
                <w:lang w:eastAsia="zh-CN"/>
              </w:rPr>
            </w:pPr>
            <w:r>
              <w:rPr>
                <w:rFonts w:hint="eastAsia" w:ascii="仿宋" w:hAnsi="仿宋" w:eastAsia="仿宋" w:cs="仿宋"/>
                <w:i w:val="0"/>
                <w:iCs w:val="0"/>
                <w:color w:val="000000"/>
                <w:kern w:val="0"/>
                <w:sz w:val="24"/>
                <w:szCs w:val="24"/>
                <w:u w:val="none"/>
                <w:lang w:val="en-US" w:eastAsia="zh-CN" w:bidi="ar"/>
              </w:rPr>
              <w:t>沐浴剂</w:t>
            </w:r>
          </w:p>
        </w:tc>
        <w:tc>
          <w:tcPr>
            <w:tcW w:w="147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kern w:val="2"/>
                <w:sz w:val="24"/>
                <w:szCs w:val="24"/>
                <w:highlight w:val="none"/>
                <w:vertAlign w:val="baseline"/>
                <w:lang w:val="en-US" w:eastAsia="zh-CN" w:bidi="ar-SA"/>
              </w:rPr>
              <w:t>2个独立包装（总量不少于1000mL）</w:t>
            </w:r>
          </w:p>
        </w:tc>
        <w:tc>
          <w:tcPr>
            <w:tcW w:w="147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kern w:val="2"/>
                <w:sz w:val="24"/>
                <w:szCs w:val="24"/>
                <w:highlight w:val="none"/>
                <w:vertAlign w:val="baseline"/>
                <w:lang w:val="en-US" w:eastAsia="zh-CN" w:bidi="ar-SA"/>
              </w:rPr>
              <w:t>1个独立包装（不少于500mL）</w:t>
            </w:r>
          </w:p>
        </w:tc>
        <w:tc>
          <w:tcPr>
            <w:tcW w:w="1299"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kern w:val="2"/>
                <w:sz w:val="24"/>
                <w:szCs w:val="24"/>
                <w:highlight w:val="none"/>
                <w:vertAlign w:val="baseline"/>
                <w:lang w:val="en-US" w:eastAsia="zh-CN" w:bidi="ar-SA"/>
              </w:rPr>
              <w:t>1个独立包装（不少于500mL）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noWrap w:val="0"/>
            <w:vAlign w:val="center"/>
          </w:tcPr>
          <w:p>
            <w:pPr>
              <w:adjustRightInd w:val="0"/>
              <w:snapToGrid w:val="0"/>
              <w:spacing w:line="44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30</w:t>
            </w:r>
          </w:p>
        </w:tc>
        <w:tc>
          <w:tcPr>
            <w:tcW w:w="3815" w:type="dxa"/>
            <w:noWrap w:val="0"/>
            <w:vAlign w:val="center"/>
          </w:tcPr>
          <w:p>
            <w:pPr>
              <w:keepNext w:val="0"/>
              <w:keepLines w:val="0"/>
              <w:widowControl/>
              <w:suppressLineNumbers w:val="0"/>
              <w:jc w:val="center"/>
              <w:textAlignment w:val="center"/>
              <w:rPr>
                <w:rFonts w:hint="eastAsia" w:ascii="仿宋" w:hAnsi="仿宋" w:eastAsia="仿宋" w:cs="仿宋"/>
                <w:color w:val="000000"/>
                <w:sz w:val="24"/>
                <w:szCs w:val="24"/>
                <w:highlight w:val="none"/>
                <w:lang w:eastAsia="zh-CN"/>
              </w:rPr>
            </w:pPr>
            <w:r>
              <w:rPr>
                <w:rFonts w:hint="eastAsia" w:ascii="仿宋" w:hAnsi="仿宋" w:eastAsia="仿宋" w:cs="仿宋"/>
                <w:i w:val="0"/>
                <w:iCs w:val="0"/>
                <w:color w:val="000000"/>
                <w:kern w:val="0"/>
                <w:sz w:val="24"/>
                <w:szCs w:val="24"/>
                <w:u w:val="none"/>
                <w:lang w:val="en-US" w:eastAsia="zh-CN" w:bidi="ar"/>
              </w:rPr>
              <w:t>洗手液</w:t>
            </w:r>
          </w:p>
        </w:tc>
        <w:tc>
          <w:tcPr>
            <w:tcW w:w="147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kern w:val="2"/>
                <w:sz w:val="24"/>
                <w:szCs w:val="24"/>
                <w:highlight w:val="none"/>
                <w:vertAlign w:val="baseline"/>
                <w:lang w:val="en-US" w:eastAsia="zh-CN" w:bidi="ar-SA"/>
              </w:rPr>
              <w:t>2个独立包装（总量不少于1000mL）</w:t>
            </w:r>
          </w:p>
        </w:tc>
        <w:tc>
          <w:tcPr>
            <w:tcW w:w="147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kern w:val="2"/>
                <w:sz w:val="24"/>
                <w:szCs w:val="24"/>
                <w:highlight w:val="none"/>
                <w:vertAlign w:val="baseline"/>
                <w:lang w:val="en-US" w:eastAsia="zh-CN" w:bidi="ar-SA"/>
              </w:rPr>
              <w:t>1个独立包装（不少于500mL）</w:t>
            </w:r>
          </w:p>
        </w:tc>
        <w:tc>
          <w:tcPr>
            <w:tcW w:w="1299"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kern w:val="2"/>
                <w:sz w:val="24"/>
                <w:szCs w:val="24"/>
                <w:highlight w:val="none"/>
                <w:vertAlign w:val="baseline"/>
                <w:lang w:val="en-US" w:eastAsia="zh-CN" w:bidi="ar-SA"/>
              </w:rPr>
              <w:t>1个独立包装（不少于500mL）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noWrap w:val="0"/>
            <w:vAlign w:val="center"/>
          </w:tcPr>
          <w:p>
            <w:pPr>
              <w:adjustRightInd w:val="0"/>
              <w:snapToGrid w:val="0"/>
              <w:spacing w:line="44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31</w:t>
            </w:r>
          </w:p>
        </w:tc>
        <w:tc>
          <w:tcPr>
            <w:tcW w:w="3815" w:type="dxa"/>
            <w:noWrap w:val="0"/>
            <w:vAlign w:val="center"/>
          </w:tcPr>
          <w:p>
            <w:pPr>
              <w:keepNext w:val="0"/>
              <w:keepLines w:val="0"/>
              <w:widowControl/>
              <w:suppressLineNumbers w:val="0"/>
              <w:jc w:val="center"/>
              <w:textAlignment w:val="center"/>
              <w:rPr>
                <w:rFonts w:hint="eastAsia" w:ascii="仿宋" w:hAnsi="仿宋" w:eastAsia="仿宋" w:cs="仿宋"/>
                <w:color w:val="000000"/>
                <w:sz w:val="24"/>
                <w:szCs w:val="24"/>
                <w:highlight w:val="none"/>
                <w:lang w:eastAsia="zh-CN"/>
              </w:rPr>
            </w:pPr>
            <w:r>
              <w:rPr>
                <w:rFonts w:hint="eastAsia" w:ascii="仿宋" w:hAnsi="仿宋" w:eastAsia="仿宋" w:cs="仿宋"/>
                <w:i w:val="0"/>
                <w:iCs w:val="0"/>
                <w:color w:val="000000"/>
                <w:kern w:val="0"/>
                <w:sz w:val="24"/>
                <w:szCs w:val="24"/>
                <w:u w:val="none"/>
                <w:lang w:val="en-US" w:eastAsia="zh-CN" w:bidi="ar"/>
              </w:rPr>
              <w:t>牙膏</w:t>
            </w:r>
          </w:p>
        </w:tc>
        <w:tc>
          <w:tcPr>
            <w:tcW w:w="147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auto"/>
                <w:sz w:val="24"/>
                <w:szCs w:val="24"/>
                <w:highlight w:val="none"/>
                <w:lang w:val="en-US" w:eastAsia="zh-CN"/>
              </w:rPr>
              <w:t>4个独立包装</w:t>
            </w:r>
          </w:p>
        </w:tc>
        <w:tc>
          <w:tcPr>
            <w:tcW w:w="147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auto"/>
                <w:sz w:val="24"/>
                <w:szCs w:val="24"/>
                <w:highlight w:val="none"/>
                <w:lang w:val="en-US" w:eastAsia="zh-CN"/>
              </w:rPr>
              <w:t>2个独立包装</w:t>
            </w:r>
          </w:p>
        </w:tc>
        <w:tc>
          <w:tcPr>
            <w:tcW w:w="1299"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auto"/>
                <w:sz w:val="24"/>
                <w:szCs w:val="24"/>
                <w:highlight w:val="none"/>
                <w:lang w:val="en-US" w:eastAsia="zh-CN"/>
              </w:rPr>
              <w:t>2个独立包装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noWrap w:val="0"/>
            <w:vAlign w:val="center"/>
          </w:tcPr>
          <w:p>
            <w:pPr>
              <w:adjustRightInd w:val="0"/>
              <w:snapToGrid w:val="0"/>
              <w:spacing w:line="44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32</w:t>
            </w:r>
          </w:p>
        </w:tc>
        <w:tc>
          <w:tcPr>
            <w:tcW w:w="3815" w:type="dxa"/>
            <w:noWrap w:val="0"/>
            <w:vAlign w:val="center"/>
          </w:tcPr>
          <w:p>
            <w:pPr>
              <w:keepNext w:val="0"/>
              <w:keepLines w:val="0"/>
              <w:widowControl/>
              <w:suppressLineNumbers w:val="0"/>
              <w:jc w:val="center"/>
              <w:textAlignment w:val="center"/>
              <w:rPr>
                <w:rFonts w:hint="eastAsia" w:ascii="仿宋" w:hAnsi="仿宋" w:eastAsia="仿宋" w:cs="仿宋"/>
                <w:color w:val="000000"/>
                <w:sz w:val="24"/>
                <w:szCs w:val="24"/>
                <w:highlight w:val="none"/>
                <w:lang w:eastAsia="zh-CN"/>
              </w:rPr>
            </w:pPr>
            <w:r>
              <w:rPr>
                <w:rFonts w:hint="eastAsia" w:ascii="仿宋" w:hAnsi="仿宋" w:eastAsia="仿宋" w:cs="仿宋"/>
                <w:i w:val="0"/>
                <w:iCs w:val="0"/>
                <w:color w:val="000000"/>
                <w:kern w:val="0"/>
                <w:sz w:val="24"/>
                <w:szCs w:val="24"/>
                <w:u w:val="none"/>
                <w:lang w:val="en-US" w:eastAsia="zh-CN" w:bidi="ar"/>
              </w:rPr>
              <w:t>肥皂</w:t>
            </w:r>
          </w:p>
        </w:tc>
        <w:tc>
          <w:tcPr>
            <w:tcW w:w="147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kern w:val="2"/>
                <w:sz w:val="24"/>
                <w:szCs w:val="24"/>
                <w:highlight w:val="none"/>
                <w:vertAlign w:val="baseline"/>
                <w:lang w:val="en-US" w:eastAsia="zh-CN" w:bidi="ar-SA"/>
              </w:rPr>
              <w:t>20块</w:t>
            </w:r>
          </w:p>
        </w:tc>
        <w:tc>
          <w:tcPr>
            <w:tcW w:w="147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kern w:val="2"/>
                <w:sz w:val="24"/>
                <w:szCs w:val="24"/>
                <w:highlight w:val="none"/>
                <w:vertAlign w:val="baseline"/>
                <w:lang w:val="en-US" w:eastAsia="zh-CN" w:bidi="ar-SA"/>
              </w:rPr>
              <w:t>10块</w:t>
            </w:r>
          </w:p>
        </w:tc>
        <w:tc>
          <w:tcPr>
            <w:tcW w:w="1299"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kern w:val="2"/>
                <w:sz w:val="24"/>
                <w:szCs w:val="24"/>
                <w:highlight w:val="none"/>
                <w:vertAlign w:val="baseline"/>
                <w:lang w:val="en-US" w:eastAsia="zh-CN" w:bidi="ar-SA"/>
              </w:rPr>
              <w:t>10块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noWrap w:val="0"/>
            <w:vAlign w:val="center"/>
          </w:tcPr>
          <w:p>
            <w:pPr>
              <w:adjustRightInd w:val="0"/>
              <w:snapToGrid w:val="0"/>
              <w:spacing w:line="44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33</w:t>
            </w:r>
          </w:p>
        </w:tc>
        <w:tc>
          <w:tcPr>
            <w:tcW w:w="3815" w:type="dxa"/>
            <w:noWrap w:val="0"/>
            <w:vAlign w:val="center"/>
          </w:tcPr>
          <w:p>
            <w:pPr>
              <w:keepNext w:val="0"/>
              <w:keepLines w:val="0"/>
              <w:widowControl/>
              <w:suppressLineNumbers w:val="0"/>
              <w:jc w:val="center"/>
              <w:textAlignment w:val="center"/>
              <w:rPr>
                <w:rFonts w:hint="eastAsia" w:ascii="仿宋" w:hAnsi="仿宋" w:eastAsia="仿宋" w:cs="仿宋"/>
                <w:color w:val="000000"/>
                <w:sz w:val="24"/>
                <w:szCs w:val="24"/>
                <w:highlight w:val="none"/>
                <w:lang w:eastAsia="zh-CN"/>
              </w:rPr>
            </w:pPr>
            <w:r>
              <w:rPr>
                <w:rFonts w:hint="eastAsia" w:ascii="仿宋" w:hAnsi="仿宋" w:eastAsia="仿宋" w:cs="仿宋"/>
                <w:i w:val="0"/>
                <w:iCs w:val="0"/>
                <w:color w:val="000000"/>
                <w:kern w:val="0"/>
                <w:sz w:val="24"/>
                <w:szCs w:val="24"/>
                <w:u w:val="none"/>
                <w:lang w:val="en-US" w:eastAsia="zh-CN" w:bidi="ar"/>
              </w:rPr>
              <w:t>洗衣皂</w:t>
            </w:r>
          </w:p>
        </w:tc>
        <w:tc>
          <w:tcPr>
            <w:tcW w:w="147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kern w:val="2"/>
                <w:sz w:val="24"/>
                <w:szCs w:val="24"/>
                <w:highlight w:val="none"/>
                <w:vertAlign w:val="baseline"/>
                <w:lang w:val="en-US" w:eastAsia="zh-CN" w:bidi="ar-SA"/>
              </w:rPr>
              <w:t>20块</w:t>
            </w:r>
          </w:p>
        </w:tc>
        <w:tc>
          <w:tcPr>
            <w:tcW w:w="147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kern w:val="2"/>
                <w:sz w:val="24"/>
                <w:szCs w:val="24"/>
                <w:highlight w:val="none"/>
                <w:vertAlign w:val="baseline"/>
                <w:lang w:val="en-US" w:eastAsia="zh-CN" w:bidi="ar-SA"/>
              </w:rPr>
              <w:t>10块</w:t>
            </w:r>
          </w:p>
        </w:tc>
        <w:tc>
          <w:tcPr>
            <w:tcW w:w="1299"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kern w:val="2"/>
                <w:sz w:val="24"/>
                <w:szCs w:val="24"/>
                <w:highlight w:val="none"/>
                <w:vertAlign w:val="baseline"/>
                <w:lang w:val="en-US" w:eastAsia="zh-CN" w:bidi="ar-SA"/>
              </w:rPr>
              <w:t>10块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noWrap w:val="0"/>
            <w:vAlign w:val="center"/>
          </w:tcPr>
          <w:p>
            <w:pPr>
              <w:adjustRightInd w:val="0"/>
              <w:snapToGrid w:val="0"/>
              <w:spacing w:line="44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34</w:t>
            </w:r>
          </w:p>
        </w:tc>
        <w:tc>
          <w:tcPr>
            <w:tcW w:w="3815" w:type="dxa"/>
            <w:noWrap w:val="0"/>
            <w:vAlign w:val="center"/>
          </w:tcPr>
          <w:p>
            <w:pPr>
              <w:keepNext w:val="0"/>
              <w:keepLines w:val="0"/>
              <w:widowControl/>
              <w:suppressLineNumbers w:val="0"/>
              <w:jc w:val="center"/>
              <w:textAlignment w:val="center"/>
              <w:rPr>
                <w:rFonts w:hint="eastAsia" w:ascii="仿宋" w:hAnsi="仿宋" w:eastAsia="仿宋" w:cs="仿宋"/>
                <w:color w:val="000000"/>
                <w:sz w:val="24"/>
                <w:szCs w:val="24"/>
                <w:highlight w:val="none"/>
                <w:lang w:eastAsia="zh-CN"/>
              </w:rPr>
            </w:pPr>
            <w:r>
              <w:rPr>
                <w:rFonts w:hint="eastAsia" w:ascii="仿宋" w:hAnsi="仿宋" w:eastAsia="仿宋" w:cs="仿宋"/>
                <w:i w:val="0"/>
                <w:iCs w:val="0"/>
                <w:color w:val="000000"/>
                <w:kern w:val="0"/>
                <w:sz w:val="24"/>
                <w:szCs w:val="24"/>
                <w:u w:val="none"/>
                <w:lang w:val="en-US" w:eastAsia="zh-CN" w:bidi="ar"/>
              </w:rPr>
              <w:t>透明皂</w:t>
            </w:r>
          </w:p>
        </w:tc>
        <w:tc>
          <w:tcPr>
            <w:tcW w:w="147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kern w:val="2"/>
                <w:sz w:val="24"/>
                <w:szCs w:val="24"/>
                <w:highlight w:val="none"/>
                <w:vertAlign w:val="baseline"/>
                <w:lang w:val="en-US" w:eastAsia="zh-CN" w:bidi="ar-SA"/>
              </w:rPr>
              <w:t>20块</w:t>
            </w:r>
          </w:p>
        </w:tc>
        <w:tc>
          <w:tcPr>
            <w:tcW w:w="147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kern w:val="2"/>
                <w:sz w:val="24"/>
                <w:szCs w:val="24"/>
                <w:highlight w:val="none"/>
                <w:vertAlign w:val="baseline"/>
                <w:lang w:val="en-US" w:eastAsia="zh-CN" w:bidi="ar-SA"/>
              </w:rPr>
              <w:t>10块</w:t>
            </w:r>
          </w:p>
        </w:tc>
        <w:tc>
          <w:tcPr>
            <w:tcW w:w="1299"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kern w:val="2"/>
                <w:sz w:val="24"/>
                <w:szCs w:val="24"/>
                <w:highlight w:val="none"/>
                <w:vertAlign w:val="baseline"/>
                <w:lang w:val="en-US" w:eastAsia="zh-CN" w:bidi="ar-SA"/>
              </w:rPr>
              <w:t>10块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noWrap w:val="0"/>
            <w:vAlign w:val="center"/>
          </w:tcPr>
          <w:p>
            <w:pPr>
              <w:adjustRightInd w:val="0"/>
              <w:snapToGrid w:val="0"/>
              <w:spacing w:line="44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35</w:t>
            </w:r>
          </w:p>
        </w:tc>
        <w:tc>
          <w:tcPr>
            <w:tcW w:w="3815" w:type="dxa"/>
            <w:noWrap w:val="0"/>
            <w:vAlign w:val="center"/>
          </w:tcPr>
          <w:p>
            <w:pPr>
              <w:keepNext w:val="0"/>
              <w:keepLines w:val="0"/>
              <w:widowControl/>
              <w:suppressLineNumbers w:val="0"/>
              <w:jc w:val="center"/>
              <w:textAlignment w:val="center"/>
              <w:rPr>
                <w:rFonts w:hint="eastAsia" w:ascii="仿宋" w:hAnsi="仿宋" w:eastAsia="仿宋" w:cs="仿宋"/>
                <w:color w:val="000000"/>
                <w:sz w:val="24"/>
                <w:szCs w:val="24"/>
                <w:highlight w:val="none"/>
                <w:lang w:eastAsia="zh-CN"/>
              </w:rPr>
            </w:pPr>
            <w:r>
              <w:rPr>
                <w:rFonts w:hint="eastAsia" w:ascii="仿宋" w:hAnsi="仿宋" w:eastAsia="仿宋" w:cs="仿宋"/>
                <w:i w:val="0"/>
                <w:iCs w:val="0"/>
                <w:color w:val="000000"/>
                <w:kern w:val="0"/>
                <w:sz w:val="24"/>
                <w:szCs w:val="24"/>
                <w:u w:val="none"/>
                <w:lang w:val="en-US" w:eastAsia="zh-CN" w:bidi="ar"/>
              </w:rPr>
              <w:t>衣料用液体洗涤剂</w:t>
            </w:r>
          </w:p>
        </w:tc>
        <w:tc>
          <w:tcPr>
            <w:tcW w:w="147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kern w:val="2"/>
                <w:sz w:val="24"/>
                <w:szCs w:val="24"/>
                <w:highlight w:val="none"/>
                <w:vertAlign w:val="baseline"/>
                <w:lang w:val="en-US" w:eastAsia="zh-CN" w:bidi="ar-SA"/>
              </w:rPr>
              <w:t>4个独立包装（总量不少于2kg或2L）</w:t>
            </w:r>
          </w:p>
        </w:tc>
        <w:tc>
          <w:tcPr>
            <w:tcW w:w="147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kern w:val="2"/>
                <w:sz w:val="24"/>
                <w:szCs w:val="24"/>
                <w:highlight w:val="none"/>
                <w:vertAlign w:val="baseline"/>
                <w:lang w:val="en-US" w:eastAsia="zh-CN" w:bidi="ar-SA"/>
              </w:rPr>
              <w:t>2个独立包装（不少于1kg或1L）</w:t>
            </w:r>
          </w:p>
        </w:tc>
        <w:tc>
          <w:tcPr>
            <w:tcW w:w="1299"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kern w:val="2"/>
                <w:sz w:val="24"/>
                <w:szCs w:val="24"/>
                <w:highlight w:val="none"/>
                <w:vertAlign w:val="baseline"/>
                <w:lang w:val="en-US" w:eastAsia="zh-CN" w:bidi="ar-SA"/>
              </w:rPr>
              <w:t>2个独立包装（不少于1kg或1L）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noWrap w:val="0"/>
            <w:vAlign w:val="center"/>
          </w:tcPr>
          <w:p>
            <w:pPr>
              <w:adjustRightInd w:val="0"/>
              <w:snapToGrid w:val="0"/>
              <w:spacing w:line="44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36</w:t>
            </w:r>
          </w:p>
        </w:tc>
        <w:tc>
          <w:tcPr>
            <w:tcW w:w="3815" w:type="dxa"/>
            <w:noWrap w:val="0"/>
            <w:vAlign w:val="center"/>
          </w:tcPr>
          <w:p>
            <w:pPr>
              <w:keepNext w:val="0"/>
              <w:keepLines w:val="0"/>
              <w:widowControl/>
              <w:suppressLineNumbers w:val="0"/>
              <w:jc w:val="center"/>
              <w:textAlignment w:val="center"/>
              <w:rPr>
                <w:rFonts w:hint="eastAsia" w:ascii="仿宋" w:hAnsi="仿宋" w:eastAsia="仿宋" w:cs="仿宋"/>
                <w:color w:val="000000"/>
                <w:sz w:val="24"/>
                <w:szCs w:val="24"/>
                <w:highlight w:val="none"/>
                <w:lang w:eastAsia="zh-CN"/>
              </w:rPr>
            </w:pPr>
            <w:r>
              <w:rPr>
                <w:rFonts w:hint="eastAsia" w:ascii="仿宋" w:hAnsi="仿宋" w:eastAsia="仿宋" w:cs="仿宋"/>
                <w:i w:val="0"/>
                <w:iCs w:val="0"/>
                <w:color w:val="000000"/>
                <w:kern w:val="0"/>
                <w:sz w:val="24"/>
                <w:szCs w:val="24"/>
                <w:u w:val="none"/>
                <w:lang w:val="en-US" w:eastAsia="zh-CN" w:bidi="ar"/>
              </w:rPr>
              <w:t>卫生纸(含卫生纸原纸)</w:t>
            </w:r>
          </w:p>
        </w:tc>
        <w:tc>
          <w:tcPr>
            <w:tcW w:w="1470" w:type="dxa"/>
            <w:noWrap w:val="0"/>
            <w:vAlign w:val="center"/>
          </w:tcPr>
          <w:p>
            <w:pPr>
              <w:keepNext w:val="0"/>
              <w:keepLines w:val="0"/>
              <w:widowControl/>
              <w:suppressLineNumbers w:val="0"/>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auto"/>
                <w:sz w:val="24"/>
                <w:szCs w:val="24"/>
                <w:highlight w:val="none"/>
                <w:lang w:val="en-US" w:eastAsia="zh-CN"/>
              </w:rPr>
              <w:t>2提</w:t>
            </w:r>
          </w:p>
        </w:tc>
        <w:tc>
          <w:tcPr>
            <w:tcW w:w="1470" w:type="dxa"/>
            <w:noWrap w:val="0"/>
            <w:vAlign w:val="center"/>
          </w:tcPr>
          <w:p>
            <w:pPr>
              <w:keepNext w:val="0"/>
              <w:keepLines w:val="0"/>
              <w:widowControl/>
              <w:suppressLineNumbers w:val="0"/>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auto"/>
                <w:sz w:val="24"/>
                <w:szCs w:val="24"/>
                <w:highlight w:val="none"/>
                <w:lang w:val="en-US" w:eastAsia="zh-CN"/>
              </w:rPr>
              <w:t>1提</w:t>
            </w:r>
          </w:p>
        </w:tc>
        <w:tc>
          <w:tcPr>
            <w:tcW w:w="1299" w:type="dxa"/>
            <w:noWrap w:val="0"/>
            <w:vAlign w:val="center"/>
          </w:tcPr>
          <w:p>
            <w:pPr>
              <w:keepNext w:val="0"/>
              <w:keepLines w:val="0"/>
              <w:widowControl/>
              <w:suppressLineNumbers w:val="0"/>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auto"/>
                <w:sz w:val="24"/>
                <w:szCs w:val="24"/>
                <w:highlight w:val="none"/>
                <w:lang w:val="en-US" w:eastAsia="zh-CN"/>
              </w:rPr>
              <w:t>1提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noWrap w:val="0"/>
            <w:vAlign w:val="center"/>
          </w:tcPr>
          <w:p>
            <w:pPr>
              <w:adjustRightInd w:val="0"/>
              <w:snapToGrid w:val="0"/>
              <w:spacing w:line="44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37</w:t>
            </w:r>
          </w:p>
        </w:tc>
        <w:tc>
          <w:tcPr>
            <w:tcW w:w="3815"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纸巾纸</w:t>
            </w:r>
          </w:p>
        </w:tc>
        <w:tc>
          <w:tcPr>
            <w:tcW w:w="1470" w:type="dxa"/>
            <w:noWrap w:val="0"/>
            <w:vAlign w:val="center"/>
          </w:tcPr>
          <w:p>
            <w:pPr>
              <w:jc w:val="center"/>
              <w:rPr>
                <w:rFonts w:hint="eastAsia" w:ascii="仿宋" w:hAnsi="仿宋" w:eastAsia="仿宋" w:cs="仿宋"/>
                <w:color w:val="000000"/>
                <w:sz w:val="24"/>
                <w:szCs w:val="24"/>
                <w:lang w:val="en-US" w:eastAsia="zh-CN"/>
              </w:rPr>
            </w:pPr>
            <w:r>
              <w:rPr>
                <w:rFonts w:hint="eastAsia" w:ascii="仿宋" w:hAnsi="仿宋" w:eastAsia="仿宋" w:cs="仿宋"/>
                <w:color w:val="auto"/>
                <w:sz w:val="24"/>
                <w:szCs w:val="24"/>
                <w:highlight w:val="none"/>
                <w:vertAlign w:val="baseline"/>
                <w:lang w:val="en-US" w:eastAsia="zh-CN"/>
              </w:rPr>
              <w:t>12包</w:t>
            </w:r>
          </w:p>
        </w:tc>
        <w:tc>
          <w:tcPr>
            <w:tcW w:w="1470" w:type="dxa"/>
            <w:noWrap w:val="0"/>
            <w:vAlign w:val="center"/>
          </w:tcPr>
          <w:p>
            <w:pPr>
              <w:keepNext w:val="0"/>
              <w:keepLines w:val="0"/>
              <w:widowControl/>
              <w:suppressLineNumbers w:val="0"/>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auto"/>
                <w:kern w:val="2"/>
                <w:sz w:val="24"/>
                <w:szCs w:val="24"/>
                <w:highlight w:val="none"/>
                <w:lang w:val="en-US" w:eastAsia="zh-CN" w:bidi="ar-SA"/>
              </w:rPr>
              <w:t>6包</w:t>
            </w:r>
          </w:p>
        </w:tc>
        <w:tc>
          <w:tcPr>
            <w:tcW w:w="1299" w:type="dxa"/>
            <w:noWrap w:val="0"/>
            <w:vAlign w:val="center"/>
          </w:tcPr>
          <w:p>
            <w:pPr>
              <w:keepNext w:val="0"/>
              <w:keepLines w:val="0"/>
              <w:widowControl/>
              <w:suppressLineNumbers w:val="0"/>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auto"/>
                <w:kern w:val="2"/>
                <w:sz w:val="24"/>
                <w:szCs w:val="24"/>
                <w:highlight w:val="none"/>
                <w:lang w:val="en-US" w:eastAsia="zh-CN" w:bidi="ar-SA"/>
              </w:rPr>
              <w:t>6包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noWrap w:val="0"/>
            <w:vAlign w:val="center"/>
          </w:tcPr>
          <w:p>
            <w:pPr>
              <w:adjustRightInd w:val="0"/>
              <w:snapToGrid w:val="0"/>
              <w:spacing w:line="44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38</w:t>
            </w:r>
          </w:p>
        </w:tc>
        <w:tc>
          <w:tcPr>
            <w:tcW w:w="3815"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纸尿裤(片、垫)</w:t>
            </w:r>
          </w:p>
        </w:tc>
        <w:tc>
          <w:tcPr>
            <w:tcW w:w="1470" w:type="dxa"/>
            <w:noWrap w:val="0"/>
            <w:vAlign w:val="center"/>
          </w:tcPr>
          <w:p>
            <w:pPr>
              <w:snapToGrid w:val="0"/>
              <w:jc w:val="center"/>
              <w:rPr>
                <w:rFonts w:hint="eastAsia" w:ascii="仿宋" w:hAnsi="仿宋" w:eastAsia="仿宋" w:cs="仿宋"/>
                <w:color w:val="000000"/>
                <w:sz w:val="24"/>
                <w:szCs w:val="24"/>
                <w:lang w:val="en-US" w:eastAsia="zh-CN"/>
              </w:rPr>
            </w:pPr>
            <w:r>
              <w:rPr>
                <w:rFonts w:hint="eastAsia" w:ascii="仿宋" w:hAnsi="仿宋" w:eastAsia="仿宋" w:cs="仿宋"/>
                <w:color w:val="auto"/>
                <w:sz w:val="24"/>
                <w:szCs w:val="24"/>
                <w:highlight w:val="none"/>
                <w:lang w:val="en-US" w:eastAsia="zh-CN"/>
              </w:rPr>
              <w:t>3包</w:t>
            </w:r>
          </w:p>
        </w:tc>
        <w:tc>
          <w:tcPr>
            <w:tcW w:w="1470" w:type="dxa"/>
            <w:noWrap w:val="0"/>
            <w:vAlign w:val="center"/>
          </w:tcPr>
          <w:p>
            <w:pPr>
              <w:snapToGrid w:val="0"/>
              <w:jc w:val="center"/>
              <w:rPr>
                <w:rFonts w:hint="eastAsia" w:ascii="仿宋" w:hAnsi="仿宋" w:eastAsia="仿宋" w:cs="仿宋"/>
                <w:color w:val="000000"/>
                <w:sz w:val="24"/>
                <w:szCs w:val="24"/>
                <w:lang w:val="en-US" w:eastAsia="zh-CN"/>
              </w:rPr>
            </w:pPr>
            <w:r>
              <w:rPr>
                <w:rFonts w:hint="eastAsia" w:ascii="仿宋" w:hAnsi="仿宋" w:eastAsia="仿宋" w:cs="仿宋"/>
                <w:color w:val="auto"/>
                <w:sz w:val="24"/>
                <w:szCs w:val="24"/>
                <w:highlight w:val="none"/>
                <w:lang w:val="en-US" w:eastAsia="zh-CN"/>
              </w:rPr>
              <w:t>2包（每包样品片数不低于10片）</w:t>
            </w:r>
          </w:p>
        </w:tc>
        <w:tc>
          <w:tcPr>
            <w:tcW w:w="1299" w:type="dxa"/>
            <w:noWrap w:val="0"/>
            <w:vAlign w:val="center"/>
          </w:tcPr>
          <w:p>
            <w:pPr>
              <w:snapToGrid w:val="0"/>
              <w:jc w:val="center"/>
              <w:rPr>
                <w:rFonts w:hint="eastAsia" w:ascii="仿宋" w:hAnsi="仿宋" w:eastAsia="仿宋" w:cs="仿宋"/>
                <w:color w:val="000000"/>
                <w:sz w:val="24"/>
                <w:szCs w:val="24"/>
                <w:lang w:val="en-US" w:eastAsia="zh-CN"/>
              </w:rPr>
            </w:pPr>
            <w:r>
              <w:rPr>
                <w:rFonts w:hint="eastAsia" w:ascii="仿宋" w:hAnsi="仿宋" w:eastAsia="仿宋" w:cs="仿宋"/>
                <w:color w:val="auto"/>
                <w:sz w:val="24"/>
                <w:szCs w:val="24"/>
                <w:highlight w:val="none"/>
                <w:lang w:val="en-US" w:eastAsia="zh-CN"/>
              </w:rPr>
              <w:t>1包（每包样品片数不低于10片）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noWrap w:val="0"/>
            <w:vAlign w:val="center"/>
          </w:tcPr>
          <w:p>
            <w:pPr>
              <w:adjustRightInd w:val="0"/>
              <w:snapToGrid w:val="0"/>
              <w:spacing w:line="44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39</w:t>
            </w:r>
          </w:p>
        </w:tc>
        <w:tc>
          <w:tcPr>
            <w:tcW w:w="3815"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婴儿纸尿裤</w:t>
            </w:r>
          </w:p>
        </w:tc>
        <w:tc>
          <w:tcPr>
            <w:tcW w:w="1470" w:type="dxa"/>
            <w:noWrap w:val="0"/>
            <w:vAlign w:val="center"/>
          </w:tcPr>
          <w:p>
            <w:pPr>
              <w:snapToGrid w:val="0"/>
              <w:jc w:val="center"/>
              <w:rPr>
                <w:rFonts w:hint="eastAsia" w:ascii="仿宋" w:hAnsi="仿宋" w:eastAsia="仿宋" w:cs="仿宋"/>
                <w:color w:val="000000"/>
                <w:sz w:val="24"/>
                <w:szCs w:val="24"/>
                <w:lang w:val="en-US" w:eastAsia="zh-CN"/>
              </w:rPr>
            </w:pPr>
            <w:r>
              <w:rPr>
                <w:rFonts w:hint="eastAsia" w:ascii="仿宋" w:hAnsi="仿宋" w:eastAsia="仿宋" w:cs="仿宋"/>
                <w:color w:val="auto"/>
                <w:sz w:val="24"/>
                <w:szCs w:val="24"/>
                <w:highlight w:val="none"/>
                <w:lang w:val="en-US" w:eastAsia="zh-CN"/>
              </w:rPr>
              <w:t>3包</w:t>
            </w:r>
          </w:p>
        </w:tc>
        <w:tc>
          <w:tcPr>
            <w:tcW w:w="1470" w:type="dxa"/>
            <w:noWrap w:val="0"/>
            <w:vAlign w:val="center"/>
          </w:tcPr>
          <w:p>
            <w:pPr>
              <w:snapToGrid w:val="0"/>
              <w:jc w:val="center"/>
              <w:rPr>
                <w:rFonts w:hint="eastAsia" w:ascii="仿宋" w:hAnsi="仿宋" w:eastAsia="仿宋" w:cs="仿宋"/>
                <w:color w:val="000000"/>
                <w:sz w:val="24"/>
                <w:szCs w:val="24"/>
                <w:lang w:val="en-US" w:eastAsia="zh-CN"/>
              </w:rPr>
            </w:pPr>
            <w:r>
              <w:rPr>
                <w:rFonts w:hint="eastAsia" w:ascii="仿宋" w:hAnsi="仿宋" w:eastAsia="仿宋" w:cs="仿宋"/>
                <w:color w:val="auto"/>
                <w:sz w:val="24"/>
                <w:szCs w:val="24"/>
                <w:highlight w:val="none"/>
                <w:lang w:val="en-US" w:eastAsia="zh-CN"/>
              </w:rPr>
              <w:t>2包（每包样品片数不低于10片）</w:t>
            </w:r>
          </w:p>
        </w:tc>
        <w:tc>
          <w:tcPr>
            <w:tcW w:w="1299" w:type="dxa"/>
            <w:noWrap w:val="0"/>
            <w:vAlign w:val="center"/>
          </w:tcPr>
          <w:p>
            <w:pPr>
              <w:snapToGrid w:val="0"/>
              <w:jc w:val="center"/>
              <w:rPr>
                <w:rFonts w:hint="eastAsia" w:ascii="仿宋" w:hAnsi="仿宋" w:eastAsia="仿宋" w:cs="仿宋"/>
                <w:color w:val="000000"/>
                <w:sz w:val="24"/>
                <w:szCs w:val="24"/>
                <w:lang w:val="en-US" w:eastAsia="zh-CN"/>
              </w:rPr>
            </w:pPr>
            <w:r>
              <w:rPr>
                <w:rFonts w:hint="eastAsia" w:ascii="仿宋" w:hAnsi="仿宋" w:eastAsia="仿宋" w:cs="仿宋"/>
                <w:color w:val="auto"/>
                <w:sz w:val="24"/>
                <w:szCs w:val="24"/>
                <w:highlight w:val="none"/>
                <w:lang w:val="en-US" w:eastAsia="zh-CN"/>
              </w:rPr>
              <w:t>1包（每包样品片数不低于10片）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noWrap w:val="0"/>
            <w:vAlign w:val="center"/>
          </w:tcPr>
          <w:p>
            <w:pPr>
              <w:adjustRightInd w:val="0"/>
              <w:snapToGrid w:val="0"/>
              <w:spacing w:line="44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40</w:t>
            </w:r>
          </w:p>
        </w:tc>
        <w:tc>
          <w:tcPr>
            <w:tcW w:w="3815"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电动自行车用阀控式铅酸蓄电池</w:t>
            </w:r>
          </w:p>
        </w:tc>
        <w:tc>
          <w:tcPr>
            <w:tcW w:w="1470" w:type="dxa"/>
            <w:noWrap w:val="0"/>
            <w:vAlign w:val="center"/>
          </w:tcPr>
          <w:p>
            <w:pPr>
              <w:snapToGrid w:val="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highlight w:val="none"/>
                <w:lang w:val="en-US" w:eastAsia="zh-CN"/>
              </w:rPr>
              <w:t>8</w:t>
            </w:r>
            <w:r>
              <w:rPr>
                <w:rFonts w:hint="eastAsia" w:ascii="仿宋" w:hAnsi="仿宋" w:eastAsia="仿宋" w:cs="仿宋"/>
                <w:color w:val="000000"/>
                <w:sz w:val="24"/>
                <w:szCs w:val="24"/>
                <w:highlight w:val="none"/>
              </w:rPr>
              <w:t>只</w:t>
            </w:r>
          </w:p>
        </w:tc>
        <w:tc>
          <w:tcPr>
            <w:tcW w:w="1470" w:type="dxa"/>
            <w:noWrap w:val="0"/>
            <w:vAlign w:val="center"/>
          </w:tcPr>
          <w:p>
            <w:pPr>
              <w:snapToGrid w:val="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highlight w:val="none"/>
                <w:lang w:val="en-US" w:eastAsia="zh-CN"/>
              </w:rPr>
              <w:t>4</w:t>
            </w:r>
            <w:r>
              <w:rPr>
                <w:rFonts w:hint="eastAsia" w:ascii="仿宋" w:hAnsi="仿宋" w:eastAsia="仿宋" w:cs="仿宋"/>
                <w:color w:val="000000"/>
                <w:sz w:val="24"/>
                <w:szCs w:val="24"/>
                <w:highlight w:val="none"/>
              </w:rPr>
              <w:t>只</w:t>
            </w:r>
          </w:p>
        </w:tc>
        <w:tc>
          <w:tcPr>
            <w:tcW w:w="1299" w:type="dxa"/>
            <w:noWrap w:val="0"/>
            <w:vAlign w:val="center"/>
          </w:tcPr>
          <w:p>
            <w:pPr>
              <w:snapToGrid w:val="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highlight w:val="none"/>
                <w:lang w:val="en-US" w:eastAsia="zh-CN"/>
              </w:rPr>
              <w:t>4</w:t>
            </w:r>
            <w:r>
              <w:rPr>
                <w:rFonts w:hint="eastAsia" w:ascii="仿宋" w:hAnsi="仿宋" w:eastAsia="仿宋" w:cs="仿宋"/>
                <w:color w:val="000000"/>
                <w:sz w:val="24"/>
                <w:szCs w:val="24"/>
                <w:highlight w:val="none"/>
              </w:rPr>
              <w:t>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noWrap w:val="0"/>
            <w:vAlign w:val="center"/>
          </w:tcPr>
          <w:p>
            <w:pPr>
              <w:adjustRightInd w:val="0"/>
              <w:snapToGrid w:val="0"/>
              <w:spacing w:line="44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41</w:t>
            </w:r>
          </w:p>
        </w:tc>
        <w:tc>
          <w:tcPr>
            <w:tcW w:w="3815"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电动自行车用密封铅酸蓄电池</w:t>
            </w:r>
          </w:p>
        </w:tc>
        <w:tc>
          <w:tcPr>
            <w:tcW w:w="1470" w:type="dxa"/>
            <w:noWrap w:val="0"/>
            <w:vAlign w:val="center"/>
          </w:tcPr>
          <w:p>
            <w:pPr>
              <w:snapToGrid w:val="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highlight w:val="none"/>
                <w:lang w:val="en-US" w:eastAsia="zh-CN"/>
              </w:rPr>
              <w:t>8</w:t>
            </w:r>
            <w:r>
              <w:rPr>
                <w:rFonts w:hint="eastAsia" w:ascii="仿宋" w:hAnsi="仿宋" w:eastAsia="仿宋" w:cs="仿宋"/>
                <w:color w:val="000000"/>
                <w:sz w:val="24"/>
                <w:szCs w:val="24"/>
                <w:highlight w:val="none"/>
              </w:rPr>
              <w:t>只</w:t>
            </w:r>
          </w:p>
        </w:tc>
        <w:tc>
          <w:tcPr>
            <w:tcW w:w="1470" w:type="dxa"/>
            <w:noWrap w:val="0"/>
            <w:vAlign w:val="center"/>
          </w:tcPr>
          <w:p>
            <w:pPr>
              <w:snapToGrid w:val="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highlight w:val="none"/>
                <w:lang w:val="en-US" w:eastAsia="zh-CN"/>
              </w:rPr>
              <w:t>4</w:t>
            </w:r>
            <w:r>
              <w:rPr>
                <w:rFonts w:hint="eastAsia" w:ascii="仿宋" w:hAnsi="仿宋" w:eastAsia="仿宋" w:cs="仿宋"/>
                <w:color w:val="000000"/>
                <w:sz w:val="24"/>
                <w:szCs w:val="24"/>
                <w:highlight w:val="none"/>
              </w:rPr>
              <w:t>只</w:t>
            </w:r>
          </w:p>
        </w:tc>
        <w:tc>
          <w:tcPr>
            <w:tcW w:w="1299" w:type="dxa"/>
            <w:noWrap w:val="0"/>
            <w:vAlign w:val="center"/>
          </w:tcPr>
          <w:p>
            <w:pPr>
              <w:snapToGrid w:val="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highlight w:val="none"/>
                <w:lang w:val="en-US" w:eastAsia="zh-CN"/>
              </w:rPr>
              <w:t>4</w:t>
            </w:r>
            <w:r>
              <w:rPr>
                <w:rFonts w:hint="eastAsia" w:ascii="仿宋" w:hAnsi="仿宋" w:eastAsia="仿宋" w:cs="仿宋"/>
                <w:color w:val="000000"/>
                <w:sz w:val="24"/>
                <w:szCs w:val="24"/>
                <w:highlight w:val="none"/>
              </w:rPr>
              <w:t>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noWrap w:val="0"/>
            <w:vAlign w:val="center"/>
          </w:tcPr>
          <w:p>
            <w:pPr>
              <w:adjustRightInd w:val="0"/>
              <w:snapToGrid w:val="0"/>
              <w:spacing w:line="44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42</w:t>
            </w:r>
          </w:p>
        </w:tc>
        <w:tc>
          <w:tcPr>
            <w:tcW w:w="3815"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电动助力车用阀控式铅酸蓄电池</w:t>
            </w:r>
          </w:p>
        </w:tc>
        <w:tc>
          <w:tcPr>
            <w:tcW w:w="1470" w:type="dxa"/>
            <w:noWrap w:val="0"/>
            <w:vAlign w:val="center"/>
          </w:tcPr>
          <w:p>
            <w:pPr>
              <w:snapToGrid w:val="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highlight w:val="none"/>
              </w:rPr>
              <w:t>8只</w:t>
            </w:r>
          </w:p>
        </w:tc>
        <w:tc>
          <w:tcPr>
            <w:tcW w:w="1470" w:type="dxa"/>
            <w:noWrap w:val="0"/>
            <w:vAlign w:val="center"/>
          </w:tcPr>
          <w:p>
            <w:pPr>
              <w:snapToGrid w:val="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highlight w:val="none"/>
              </w:rPr>
              <w:t>4只</w:t>
            </w:r>
          </w:p>
        </w:tc>
        <w:tc>
          <w:tcPr>
            <w:tcW w:w="1299" w:type="dxa"/>
            <w:noWrap w:val="0"/>
            <w:vAlign w:val="center"/>
          </w:tcPr>
          <w:p>
            <w:pPr>
              <w:snapToGrid w:val="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highlight w:val="none"/>
              </w:rPr>
              <w:t>4只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noWrap w:val="0"/>
            <w:vAlign w:val="center"/>
          </w:tcPr>
          <w:p>
            <w:pPr>
              <w:adjustRightInd w:val="0"/>
              <w:snapToGrid w:val="0"/>
              <w:spacing w:line="440" w:lineRule="exact"/>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43</w:t>
            </w:r>
          </w:p>
        </w:tc>
        <w:tc>
          <w:tcPr>
            <w:tcW w:w="3815"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机油</w:t>
            </w:r>
          </w:p>
        </w:tc>
        <w:tc>
          <w:tcPr>
            <w:tcW w:w="1470" w:type="dxa"/>
            <w:noWrap w:val="0"/>
            <w:vAlign w:val="top"/>
          </w:tcPr>
          <w:p>
            <w:pPr>
              <w:keepNext w:val="0"/>
              <w:keepLines w:val="0"/>
              <w:pageBreakBefore w:val="0"/>
              <w:kinsoku/>
              <w:wordWrap/>
              <w:overflowPunct/>
              <w:topLinePunct w:val="0"/>
              <w:autoSpaceDE/>
              <w:autoSpaceDN/>
              <w:bidi w:val="0"/>
              <w:snapToGrid w:val="0"/>
              <w:spacing w:line="44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auto"/>
                <w:sz w:val="24"/>
                <w:szCs w:val="24"/>
                <w:vertAlign w:val="baseline"/>
                <w:lang w:val="en-US" w:eastAsia="zh-CN"/>
              </w:rPr>
              <w:t>2桶</w:t>
            </w:r>
          </w:p>
        </w:tc>
        <w:tc>
          <w:tcPr>
            <w:tcW w:w="1470" w:type="dxa"/>
            <w:noWrap w:val="0"/>
            <w:vAlign w:val="top"/>
          </w:tcPr>
          <w:p>
            <w:pPr>
              <w:keepNext w:val="0"/>
              <w:keepLines w:val="0"/>
              <w:pageBreakBefore w:val="0"/>
              <w:kinsoku/>
              <w:wordWrap/>
              <w:overflowPunct/>
              <w:topLinePunct w:val="0"/>
              <w:autoSpaceDE/>
              <w:autoSpaceDN/>
              <w:bidi w:val="0"/>
              <w:snapToGrid w:val="0"/>
              <w:spacing w:line="44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auto"/>
                <w:sz w:val="24"/>
                <w:szCs w:val="24"/>
                <w:vertAlign w:val="baseline"/>
                <w:lang w:val="en-US" w:eastAsia="zh-CN"/>
              </w:rPr>
              <w:t>1桶（不少于2L）</w:t>
            </w:r>
          </w:p>
        </w:tc>
        <w:tc>
          <w:tcPr>
            <w:tcW w:w="1299" w:type="dxa"/>
            <w:noWrap w:val="0"/>
            <w:vAlign w:val="top"/>
          </w:tcPr>
          <w:p>
            <w:pPr>
              <w:keepNext w:val="0"/>
              <w:keepLines w:val="0"/>
              <w:pageBreakBefore w:val="0"/>
              <w:kinsoku/>
              <w:wordWrap/>
              <w:overflowPunct/>
              <w:topLinePunct w:val="0"/>
              <w:autoSpaceDE/>
              <w:autoSpaceDN/>
              <w:bidi w:val="0"/>
              <w:snapToGrid w:val="0"/>
              <w:spacing w:line="44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auto"/>
                <w:sz w:val="24"/>
                <w:szCs w:val="24"/>
                <w:vertAlign w:val="baseline"/>
                <w:lang w:val="en-US" w:eastAsia="zh-CN"/>
              </w:rPr>
              <w:t>1桶（不少于2L）</w:t>
            </w:r>
          </w:p>
        </w:tc>
      </w:tr>
    </w:tbl>
    <w:p>
      <w:pPr>
        <w:rPr>
          <w:rFonts w:hint="default"/>
          <w:lang w:val="en-US" w:eastAsia="zh-CN"/>
        </w:rPr>
      </w:pPr>
    </w:p>
    <w:p>
      <w:pPr>
        <w:pStyle w:val="19"/>
        <w:numPr>
          <w:ilvl w:val="0"/>
          <w:numId w:val="0"/>
        </w:numPr>
        <w:jc w:val="left"/>
        <w:rPr>
          <w:rFonts w:hint="eastAsia" w:ascii="仿宋" w:hAnsi="仿宋" w:eastAsia="仿宋" w:cs="仿宋"/>
          <w:b/>
          <w:bCs/>
          <w:sz w:val="28"/>
          <w:szCs w:val="32"/>
          <w:lang w:val="en-US" w:eastAsia="zh-CN"/>
        </w:rPr>
      </w:pPr>
      <w:r>
        <w:rPr>
          <w:rFonts w:hint="eastAsia" w:ascii="黑体" w:hAnsi="黑体" w:eastAsia="黑体"/>
          <w:lang w:eastAsia="zh-CN"/>
        </w:rPr>
        <w:t>四、</w:t>
      </w:r>
      <w:r>
        <w:rPr>
          <w:rFonts w:hint="eastAsia" w:ascii="黑体" w:hAnsi="黑体" w:eastAsia="黑体"/>
        </w:rPr>
        <w:t>抽查检验项目</w:t>
      </w:r>
      <w:r>
        <w:rPr>
          <w:rFonts w:hint="eastAsia" w:ascii="黑体" w:hAnsi="黑体" w:eastAsia="黑体"/>
          <w:lang w:val="en-US" w:eastAsia="zh-CN"/>
        </w:rPr>
        <w:t>及</w:t>
      </w:r>
      <w:r>
        <w:rPr>
          <w:rFonts w:hint="eastAsia" w:ascii="黑体" w:hAnsi="黑体" w:eastAsia="黑体"/>
          <w:lang w:eastAsia="zh-CN"/>
        </w:rPr>
        <w:t>执行标准表</w:t>
      </w:r>
      <w:r>
        <w:rPr>
          <w:rFonts w:hint="eastAsia" w:ascii="黑体" w:hAnsi="黑体" w:eastAsia="黑体"/>
          <w:lang w:val="en-US" w:eastAsia="zh-CN"/>
        </w:rPr>
        <w:t>2</w:t>
      </w:r>
    </w:p>
    <w:p>
      <w:pPr>
        <w:numPr>
          <w:ilvl w:val="0"/>
          <w:numId w:val="0"/>
        </w:numPr>
        <w:jc w:val="center"/>
        <w:rPr>
          <w:rFonts w:hint="eastAsia" w:ascii="仿宋" w:hAnsi="仿宋" w:eastAsia="仿宋" w:cs="仿宋"/>
          <w:b/>
          <w:bCs/>
          <w:sz w:val="28"/>
          <w:szCs w:val="32"/>
          <w:lang w:val="en-US" w:eastAsia="zh-CN"/>
        </w:rPr>
      </w:pPr>
      <w:r>
        <w:rPr>
          <w:rFonts w:hint="eastAsia" w:ascii="仿宋" w:hAnsi="仿宋" w:eastAsia="仿宋" w:cs="仿宋"/>
          <w:b/>
          <w:bCs/>
          <w:sz w:val="28"/>
          <w:szCs w:val="32"/>
          <w:lang w:val="en-US" w:eastAsia="zh-CN"/>
        </w:rPr>
        <w:t>表2  抽查检验项目、执行标准、抽检批次及检测费</w:t>
      </w:r>
    </w:p>
    <w:tbl>
      <w:tblPr>
        <w:tblStyle w:val="22"/>
        <w:tblW w:w="10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163"/>
        <w:gridCol w:w="1407"/>
        <w:gridCol w:w="715"/>
        <w:gridCol w:w="3057"/>
        <w:gridCol w:w="2653"/>
        <w:gridCol w:w="1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20" w:hRule="atLeast"/>
          <w:jc w:val="center"/>
        </w:trPr>
        <w:tc>
          <w:tcPr>
            <w:tcW w:w="116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产品分类</w:t>
            </w:r>
          </w:p>
        </w:tc>
        <w:tc>
          <w:tcPr>
            <w:tcW w:w="140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产品名称</w:t>
            </w: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序号</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检测项目</w:t>
            </w:r>
          </w:p>
        </w:tc>
        <w:tc>
          <w:tcPr>
            <w:tcW w:w="265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执行标准</w:t>
            </w:r>
          </w:p>
        </w:tc>
        <w:tc>
          <w:tcPr>
            <w:tcW w:w="12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抽检批次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成品油</w:t>
            </w:r>
          </w:p>
        </w:tc>
        <w:tc>
          <w:tcPr>
            <w:tcW w:w="1407"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车用汽油</w:t>
            </w: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硫含量</w:t>
            </w:r>
          </w:p>
        </w:tc>
        <w:tc>
          <w:tcPr>
            <w:tcW w:w="265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GB 17930-2016</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《车用汽油》</w:t>
            </w:r>
          </w:p>
        </w:tc>
        <w:tc>
          <w:tcPr>
            <w:tcW w:w="1265"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铜片腐蚀</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机械杂质及水分</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氧含量</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甲醇含量</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车用柴油</w:t>
            </w: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硫含量</w:t>
            </w:r>
          </w:p>
        </w:tc>
        <w:tc>
          <w:tcPr>
            <w:tcW w:w="265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GB 19147-2016</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《车用柴油》</w:t>
            </w:r>
          </w:p>
        </w:tc>
        <w:tc>
          <w:tcPr>
            <w:tcW w:w="1265"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凝点</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冷滤点</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80"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闪点</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大气污染相关产品</w:t>
            </w:r>
          </w:p>
        </w:tc>
        <w:tc>
          <w:tcPr>
            <w:tcW w:w="1407"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车用尿素</w:t>
            </w: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尿素含量</w:t>
            </w:r>
          </w:p>
        </w:tc>
        <w:tc>
          <w:tcPr>
            <w:tcW w:w="265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GB 29518-2013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《柴油发动机氮氧化物还原剂 尿素水溶液（AUS 32)》</w:t>
            </w:r>
          </w:p>
        </w:tc>
        <w:tc>
          <w:tcPr>
            <w:tcW w:w="1265"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密度</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折光率</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碱度</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缩二脲</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醛类</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不溶物</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磷酸盐</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煤炭</w:t>
            </w:r>
          </w:p>
        </w:tc>
        <w:tc>
          <w:tcPr>
            <w:tcW w:w="1407"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褐煤</w:t>
            </w: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发热量</w:t>
            </w:r>
          </w:p>
        </w:tc>
        <w:tc>
          <w:tcPr>
            <w:tcW w:w="265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GB/T 31862-2015      《商品煤质量褐煤》</w:t>
            </w:r>
          </w:p>
        </w:tc>
        <w:tc>
          <w:tcPr>
            <w:tcW w:w="1265"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全水分</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灰分</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全硫</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眼镜类产品</w:t>
            </w:r>
          </w:p>
        </w:tc>
        <w:tc>
          <w:tcPr>
            <w:tcW w:w="1407"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老视成镜</w:t>
            </w: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球镜顶焦度偏差</w:t>
            </w:r>
          </w:p>
        </w:tc>
        <w:tc>
          <w:tcPr>
            <w:tcW w:w="265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GB 13511.1-2011</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《配装眼镜 第1部分：单光和多焦点》</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GB 10810.3-2006</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《眼镜镜片及相关眼镜产品 透射比规范及测量方法》</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GB 10810.1-2005</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《眼镜镜片 第1部分：单光和多焦点镜片》</w:t>
            </w:r>
          </w:p>
        </w:tc>
        <w:tc>
          <w:tcPr>
            <w:tcW w:w="1265"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柱镜顶焦度偏差</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光学中心水平距离偏差</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光学中心单侧水平偏差</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光学中心垂直互差</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可见光透射比</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光透射比相对偏差</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镜片的基准点厚度</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镜片材料和表面的质量</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两镜片顶焦度互差</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11</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镜架外观质量</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装配质量</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restart"/>
            <w:shd w:val="clear" w:color="auto" w:fill="auto"/>
            <w:vAlign w:val="center"/>
          </w:tcPr>
          <w:p>
            <w:pPr>
              <w:jc w:val="center"/>
              <w:rPr>
                <w:rFonts w:hint="eastAsia" w:ascii="仿宋" w:hAnsi="仿宋" w:eastAsia="仿宋" w:cs="仿宋"/>
                <w:i w:val="0"/>
                <w:iCs w:val="0"/>
                <w:color w:val="000000"/>
                <w:sz w:val="24"/>
                <w:szCs w:val="24"/>
                <w:u w:val="none"/>
                <w:lang w:eastAsia="zh-CN"/>
              </w:rPr>
            </w:pPr>
            <w:r>
              <w:rPr>
                <w:rFonts w:hint="eastAsia" w:ascii="仿宋" w:hAnsi="仿宋" w:eastAsia="仿宋" w:cs="仿宋"/>
                <w:i w:val="0"/>
                <w:iCs w:val="0"/>
                <w:color w:val="000000"/>
                <w:sz w:val="24"/>
                <w:szCs w:val="24"/>
                <w:u w:val="none"/>
                <w:lang w:eastAsia="zh-CN"/>
              </w:rPr>
              <w:t>老视成镜</w:t>
            </w: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i w:val="0"/>
                <w:iCs w:val="0"/>
                <w:color w:val="000000"/>
                <w:kern w:val="0"/>
                <w:sz w:val="24"/>
                <w:szCs w:val="24"/>
                <w:u w:val="none"/>
                <w:lang w:val="en-US" w:eastAsia="zh-CN" w:bidi="ar"/>
              </w:rPr>
              <w:t>1</w:t>
            </w:r>
          </w:p>
        </w:tc>
        <w:tc>
          <w:tcPr>
            <w:tcW w:w="3057" w:type="dxa"/>
            <w:shd w:val="clear" w:color="auto" w:fill="auto"/>
            <w:vAlign w:val="center"/>
          </w:tcPr>
          <w:p>
            <w:pPr>
              <w:keepNext w:val="0"/>
              <w:keepLines w:val="0"/>
              <w:pageBreakBefore w:val="0"/>
              <w:kinsoku/>
              <w:wordWrap/>
              <w:overflowPunct/>
              <w:topLinePunct w:val="0"/>
              <w:autoSpaceDE/>
              <w:autoSpaceDN/>
              <w:bidi w:val="0"/>
              <w:snapToGrid w:val="0"/>
              <w:spacing w:line="440" w:lineRule="exact"/>
              <w:jc w:val="center"/>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sz w:val="24"/>
                <w:szCs w:val="24"/>
              </w:rPr>
              <w:t>球镜主子午面一顶焦度偏差</w:t>
            </w:r>
          </w:p>
        </w:tc>
        <w:tc>
          <w:tcPr>
            <w:tcW w:w="2653" w:type="dxa"/>
            <w:vMerge w:val="restart"/>
            <w:shd w:val="clear" w:color="auto" w:fill="auto"/>
            <w:vAlign w:val="center"/>
          </w:tcPr>
          <w:p>
            <w:pPr>
              <w:pStyle w:val="26"/>
              <w:keepNext w:val="0"/>
              <w:keepLines w:val="0"/>
              <w:pageBreakBefore w:val="0"/>
              <w:widowControl w:val="0"/>
              <w:kinsoku/>
              <w:wordWrap/>
              <w:overflowPunct/>
              <w:topLinePunct w:val="0"/>
              <w:autoSpaceDE/>
              <w:autoSpaceDN/>
              <w:bidi w:val="0"/>
              <w:spacing w:line="440" w:lineRule="exact"/>
              <w:jc w:val="center"/>
              <w:textAlignment w:val="auto"/>
              <w:rPr>
                <w:rFonts w:hint="eastAsia" w:ascii="仿宋" w:hAnsi="仿宋" w:eastAsia="仿宋" w:cs="仿宋"/>
                <w:sz w:val="24"/>
                <w:szCs w:val="24"/>
              </w:rPr>
            </w:pPr>
            <w:r>
              <w:rPr>
                <w:rFonts w:hint="eastAsia" w:ascii="仿宋" w:hAnsi="仿宋" w:eastAsia="仿宋" w:cs="仿宋"/>
                <w:i w:val="0"/>
                <w:iCs w:val="0"/>
                <w:color w:val="000000"/>
                <w:sz w:val="24"/>
                <w:szCs w:val="24"/>
                <w:u w:val="none"/>
              </w:rPr>
              <w:t>GB/T13511.3-2019</w:t>
            </w:r>
            <w:r>
              <w:rPr>
                <w:rFonts w:hint="eastAsia" w:ascii="仿宋" w:hAnsi="仿宋" w:eastAsia="仿宋" w:cs="仿宋"/>
                <w:i w:val="0"/>
                <w:iCs w:val="0"/>
                <w:color w:val="000000"/>
                <w:sz w:val="24"/>
                <w:szCs w:val="24"/>
                <w:u w:val="none"/>
                <w:lang w:val="en-US" w:eastAsia="zh-CN"/>
              </w:rPr>
              <w:t xml:space="preserve">                    </w:t>
            </w:r>
            <w:r>
              <w:rPr>
                <w:rFonts w:hint="eastAsia" w:ascii="仿宋" w:hAnsi="仿宋" w:eastAsia="仿宋" w:cs="仿宋"/>
                <w:i w:val="0"/>
                <w:iCs w:val="0"/>
                <w:color w:val="000000"/>
                <w:sz w:val="24"/>
                <w:szCs w:val="24"/>
                <w:u w:val="none"/>
              </w:rPr>
              <w:t>《配装眼镜 第3部分：单光老视成镜》</w:t>
            </w:r>
            <w:r>
              <w:rPr>
                <w:rFonts w:hint="eastAsia" w:ascii="仿宋" w:hAnsi="仿宋" w:eastAsia="仿宋" w:cs="仿宋"/>
                <w:i w:val="0"/>
                <w:iCs w:val="0"/>
                <w:color w:val="000000"/>
                <w:sz w:val="24"/>
                <w:szCs w:val="24"/>
                <w:u w:val="none"/>
                <w:lang w:val="en-US" w:eastAsia="zh-CN"/>
              </w:rPr>
              <w:t xml:space="preserve">                       </w:t>
            </w:r>
            <w:r>
              <w:rPr>
                <w:rFonts w:hint="eastAsia" w:ascii="仿宋" w:hAnsi="仿宋" w:eastAsia="仿宋" w:cs="仿宋"/>
                <w:sz w:val="24"/>
                <w:szCs w:val="24"/>
              </w:rPr>
              <w:t>GB 10810.3-2006</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w:t>
            </w:r>
            <w:r>
              <w:rPr>
                <w:rFonts w:hint="eastAsia" w:ascii="仿宋" w:hAnsi="仿宋" w:eastAsia="仿宋" w:cs="仿宋"/>
                <w:sz w:val="24"/>
                <w:szCs w:val="24"/>
              </w:rPr>
              <w:t>眼镜镜片及相关眼镜产品 透射比规范及测量方法</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GB 10810.1-2005</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w:t>
            </w:r>
            <w:r>
              <w:rPr>
                <w:rFonts w:hint="eastAsia" w:ascii="仿宋" w:hAnsi="仿宋" w:eastAsia="仿宋" w:cs="仿宋"/>
                <w:sz w:val="24"/>
                <w:szCs w:val="24"/>
              </w:rPr>
              <w:t>眼镜镜片 第1部分：单光和多焦点镜片</w:t>
            </w:r>
            <w:r>
              <w:rPr>
                <w:rFonts w:hint="eastAsia" w:ascii="仿宋" w:hAnsi="仿宋" w:eastAsia="仿宋" w:cs="仿宋"/>
                <w:sz w:val="24"/>
                <w:szCs w:val="24"/>
                <w:lang w:eastAsia="zh-CN"/>
              </w:rPr>
              <w:t>》</w:t>
            </w:r>
          </w:p>
          <w:p>
            <w:pPr>
              <w:pStyle w:val="26"/>
              <w:keepNext w:val="0"/>
              <w:keepLines w:val="0"/>
              <w:pageBreakBefore w:val="0"/>
              <w:widowControl w:val="0"/>
              <w:kinsoku/>
              <w:wordWrap/>
              <w:overflowPunct/>
              <w:topLinePunct w:val="0"/>
              <w:autoSpaceDE/>
              <w:autoSpaceDN/>
              <w:bidi w:val="0"/>
              <w:spacing w:line="440" w:lineRule="exact"/>
              <w:jc w:val="center"/>
              <w:textAlignment w:val="auto"/>
              <w:rPr>
                <w:rFonts w:hint="eastAsia" w:ascii="仿宋" w:hAnsi="仿宋" w:eastAsia="仿宋" w:cs="仿宋"/>
                <w:sz w:val="24"/>
                <w:szCs w:val="24"/>
              </w:rPr>
            </w:pPr>
          </w:p>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i w:val="0"/>
                <w:iCs w:val="0"/>
                <w:color w:val="000000"/>
                <w:kern w:val="0"/>
                <w:sz w:val="24"/>
                <w:szCs w:val="24"/>
                <w:u w:val="none"/>
                <w:lang w:val="en-US" w:eastAsia="zh-CN" w:bidi="ar"/>
              </w:rPr>
              <w:t>2</w:t>
            </w:r>
          </w:p>
        </w:tc>
        <w:tc>
          <w:tcPr>
            <w:tcW w:w="3057" w:type="dxa"/>
            <w:shd w:val="clear" w:color="auto" w:fill="auto"/>
            <w:vAlign w:val="center"/>
          </w:tcPr>
          <w:p>
            <w:pPr>
              <w:keepNext w:val="0"/>
              <w:keepLines w:val="0"/>
              <w:pageBreakBefore w:val="0"/>
              <w:kinsoku/>
              <w:wordWrap/>
              <w:overflowPunct/>
              <w:topLinePunct w:val="0"/>
              <w:autoSpaceDE/>
              <w:autoSpaceDN/>
              <w:bidi w:val="0"/>
              <w:snapToGrid w:val="0"/>
              <w:spacing w:line="440" w:lineRule="exact"/>
              <w:jc w:val="center"/>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sz w:val="24"/>
                <w:szCs w:val="24"/>
              </w:rPr>
              <w:t>球镜主子午面二顶焦度偏差</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i w:val="0"/>
                <w:iCs w:val="0"/>
                <w:color w:val="000000"/>
                <w:kern w:val="0"/>
                <w:sz w:val="24"/>
                <w:szCs w:val="24"/>
                <w:u w:val="none"/>
                <w:lang w:val="en-US" w:eastAsia="zh-CN" w:bidi="ar"/>
              </w:rPr>
              <w:t>3</w:t>
            </w:r>
          </w:p>
        </w:tc>
        <w:tc>
          <w:tcPr>
            <w:tcW w:w="3057" w:type="dxa"/>
            <w:shd w:val="clear" w:color="auto" w:fill="auto"/>
            <w:vAlign w:val="center"/>
          </w:tcPr>
          <w:p>
            <w:pPr>
              <w:keepNext w:val="0"/>
              <w:keepLines w:val="0"/>
              <w:pageBreakBefore w:val="0"/>
              <w:kinsoku/>
              <w:wordWrap/>
              <w:overflowPunct/>
              <w:topLinePunct w:val="0"/>
              <w:autoSpaceDE/>
              <w:autoSpaceDN/>
              <w:bidi w:val="0"/>
              <w:snapToGrid w:val="0"/>
              <w:spacing w:line="440" w:lineRule="exact"/>
              <w:jc w:val="center"/>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sz w:val="24"/>
                <w:szCs w:val="24"/>
              </w:rPr>
              <w:t>柱镜顶焦度偏差</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i w:val="0"/>
                <w:iCs w:val="0"/>
                <w:color w:val="000000"/>
                <w:kern w:val="0"/>
                <w:sz w:val="24"/>
                <w:szCs w:val="24"/>
                <w:u w:val="none"/>
                <w:lang w:val="en-US" w:eastAsia="zh-CN" w:bidi="ar"/>
              </w:rPr>
              <w:t>4</w:t>
            </w:r>
          </w:p>
        </w:tc>
        <w:tc>
          <w:tcPr>
            <w:tcW w:w="3057" w:type="dxa"/>
            <w:shd w:val="clear" w:color="auto" w:fill="auto"/>
            <w:vAlign w:val="center"/>
          </w:tcPr>
          <w:p>
            <w:pPr>
              <w:keepNext w:val="0"/>
              <w:keepLines w:val="0"/>
              <w:pageBreakBefore w:val="0"/>
              <w:kinsoku/>
              <w:wordWrap/>
              <w:overflowPunct/>
              <w:topLinePunct w:val="0"/>
              <w:autoSpaceDE/>
              <w:autoSpaceDN/>
              <w:bidi w:val="0"/>
              <w:snapToGrid w:val="0"/>
              <w:spacing w:line="440" w:lineRule="exact"/>
              <w:jc w:val="center"/>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sz w:val="24"/>
                <w:szCs w:val="24"/>
              </w:rPr>
              <w:t>镜片光学中心水平偏差</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i w:val="0"/>
                <w:iCs w:val="0"/>
                <w:color w:val="000000"/>
                <w:kern w:val="0"/>
                <w:sz w:val="24"/>
                <w:szCs w:val="24"/>
                <w:u w:val="none"/>
                <w:lang w:val="en-US" w:eastAsia="zh-CN" w:bidi="ar"/>
              </w:rPr>
              <w:t>5</w:t>
            </w:r>
          </w:p>
        </w:tc>
        <w:tc>
          <w:tcPr>
            <w:tcW w:w="3057" w:type="dxa"/>
            <w:shd w:val="clear" w:color="auto" w:fill="auto"/>
            <w:vAlign w:val="center"/>
          </w:tcPr>
          <w:p>
            <w:pPr>
              <w:keepNext w:val="0"/>
              <w:keepLines w:val="0"/>
              <w:pageBreakBefore w:val="0"/>
              <w:kinsoku/>
              <w:wordWrap/>
              <w:overflowPunct/>
              <w:topLinePunct w:val="0"/>
              <w:autoSpaceDE/>
              <w:autoSpaceDN/>
              <w:bidi w:val="0"/>
              <w:snapToGrid w:val="0"/>
              <w:spacing w:line="440" w:lineRule="exact"/>
              <w:jc w:val="center"/>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sz w:val="24"/>
                <w:szCs w:val="24"/>
              </w:rPr>
              <w:t>镜片光学中心单侧水平偏差</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i w:val="0"/>
                <w:iCs w:val="0"/>
                <w:color w:val="000000"/>
                <w:kern w:val="0"/>
                <w:sz w:val="24"/>
                <w:szCs w:val="24"/>
                <w:u w:val="none"/>
                <w:lang w:val="en-US" w:eastAsia="zh-CN" w:bidi="ar"/>
              </w:rPr>
              <w:t>6</w:t>
            </w:r>
          </w:p>
        </w:tc>
        <w:tc>
          <w:tcPr>
            <w:tcW w:w="3057" w:type="dxa"/>
            <w:shd w:val="clear" w:color="auto" w:fill="auto"/>
            <w:vAlign w:val="center"/>
          </w:tcPr>
          <w:p>
            <w:pPr>
              <w:keepNext w:val="0"/>
              <w:keepLines w:val="0"/>
              <w:pageBreakBefore w:val="0"/>
              <w:kinsoku/>
              <w:wordWrap/>
              <w:overflowPunct/>
              <w:topLinePunct w:val="0"/>
              <w:autoSpaceDE/>
              <w:autoSpaceDN/>
              <w:bidi w:val="0"/>
              <w:snapToGrid w:val="0"/>
              <w:spacing w:line="440" w:lineRule="exact"/>
              <w:jc w:val="center"/>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sz w:val="24"/>
                <w:szCs w:val="24"/>
              </w:rPr>
              <w:t>可见光透射比</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i w:val="0"/>
                <w:iCs w:val="0"/>
                <w:color w:val="000000"/>
                <w:kern w:val="0"/>
                <w:sz w:val="24"/>
                <w:szCs w:val="24"/>
                <w:u w:val="none"/>
                <w:lang w:val="en-US" w:eastAsia="zh-CN" w:bidi="ar"/>
              </w:rPr>
              <w:t>7</w:t>
            </w:r>
          </w:p>
        </w:tc>
        <w:tc>
          <w:tcPr>
            <w:tcW w:w="3057" w:type="dxa"/>
            <w:shd w:val="clear" w:color="auto" w:fill="auto"/>
            <w:vAlign w:val="center"/>
          </w:tcPr>
          <w:p>
            <w:pPr>
              <w:keepNext w:val="0"/>
              <w:keepLines w:val="0"/>
              <w:pageBreakBefore w:val="0"/>
              <w:kinsoku/>
              <w:wordWrap/>
              <w:overflowPunct/>
              <w:topLinePunct w:val="0"/>
              <w:autoSpaceDE/>
              <w:autoSpaceDN/>
              <w:bidi w:val="0"/>
              <w:snapToGrid w:val="0"/>
              <w:spacing w:line="440" w:lineRule="exact"/>
              <w:jc w:val="center"/>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sz w:val="24"/>
                <w:szCs w:val="24"/>
              </w:rPr>
              <w:t>材料和表面的质量</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i w:val="0"/>
                <w:iCs w:val="0"/>
                <w:color w:val="000000"/>
                <w:kern w:val="0"/>
                <w:sz w:val="24"/>
                <w:szCs w:val="24"/>
                <w:u w:val="none"/>
                <w:lang w:val="en-US" w:eastAsia="zh-CN" w:bidi="ar"/>
              </w:rPr>
              <w:t>8</w:t>
            </w:r>
          </w:p>
        </w:tc>
        <w:tc>
          <w:tcPr>
            <w:tcW w:w="3057" w:type="dxa"/>
            <w:shd w:val="clear" w:color="auto" w:fill="auto"/>
            <w:vAlign w:val="center"/>
          </w:tcPr>
          <w:p>
            <w:pPr>
              <w:keepNext w:val="0"/>
              <w:keepLines w:val="0"/>
              <w:pageBreakBefore w:val="0"/>
              <w:kinsoku/>
              <w:wordWrap/>
              <w:overflowPunct/>
              <w:topLinePunct w:val="0"/>
              <w:autoSpaceDE/>
              <w:autoSpaceDN/>
              <w:bidi w:val="0"/>
              <w:snapToGrid w:val="0"/>
              <w:spacing w:line="440" w:lineRule="exact"/>
              <w:jc w:val="center"/>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sz w:val="24"/>
                <w:szCs w:val="24"/>
              </w:rPr>
              <w:t>镜片和镜圈</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i w:val="0"/>
                <w:iCs w:val="0"/>
                <w:color w:val="000000"/>
                <w:kern w:val="0"/>
                <w:sz w:val="24"/>
                <w:szCs w:val="24"/>
                <w:u w:val="none"/>
                <w:lang w:val="en-US" w:eastAsia="zh-CN" w:bidi="ar"/>
              </w:rPr>
              <w:t>9</w:t>
            </w:r>
          </w:p>
        </w:tc>
        <w:tc>
          <w:tcPr>
            <w:tcW w:w="3057" w:type="dxa"/>
            <w:shd w:val="clear" w:color="auto" w:fill="auto"/>
            <w:vAlign w:val="center"/>
          </w:tcPr>
          <w:p>
            <w:pPr>
              <w:keepNext w:val="0"/>
              <w:keepLines w:val="0"/>
              <w:pageBreakBefore w:val="0"/>
              <w:kinsoku/>
              <w:wordWrap/>
              <w:overflowPunct/>
              <w:topLinePunct w:val="0"/>
              <w:autoSpaceDE/>
              <w:autoSpaceDN/>
              <w:bidi w:val="0"/>
              <w:snapToGrid w:val="0"/>
              <w:spacing w:line="440" w:lineRule="exact"/>
              <w:jc w:val="center"/>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sz w:val="24"/>
                <w:szCs w:val="24"/>
              </w:rPr>
              <w:t>顶焦度范围</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i w:val="0"/>
                <w:iCs w:val="0"/>
                <w:color w:val="000000"/>
                <w:kern w:val="0"/>
                <w:sz w:val="24"/>
                <w:szCs w:val="24"/>
                <w:u w:val="none"/>
                <w:lang w:val="en-US" w:eastAsia="zh-CN" w:bidi="ar"/>
              </w:rPr>
              <w:t>10</w:t>
            </w:r>
          </w:p>
        </w:tc>
        <w:tc>
          <w:tcPr>
            <w:tcW w:w="3057" w:type="dxa"/>
            <w:shd w:val="clear" w:color="auto" w:fill="auto"/>
            <w:vAlign w:val="center"/>
          </w:tcPr>
          <w:p>
            <w:pPr>
              <w:keepNext w:val="0"/>
              <w:keepLines w:val="0"/>
              <w:pageBreakBefore w:val="0"/>
              <w:kinsoku/>
              <w:wordWrap/>
              <w:overflowPunct/>
              <w:topLinePunct w:val="0"/>
              <w:autoSpaceDE/>
              <w:autoSpaceDN/>
              <w:bidi w:val="0"/>
              <w:snapToGrid w:val="0"/>
              <w:spacing w:line="440" w:lineRule="exact"/>
              <w:jc w:val="center"/>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sz w:val="24"/>
                <w:szCs w:val="24"/>
              </w:rPr>
              <w:t>两镜片顶焦度互差</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i w:val="0"/>
                <w:iCs w:val="0"/>
                <w:color w:val="000000"/>
                <w:kern w:val="0"/>
                <w:sz w:val="24"/>
                <w:szCs w:val="24"/>
                <w:u w:val="none"/>
                <w:lang w:val="en-US" w:eastAsia="zh-CN" w:bidi="ar"/>
              </w:rPr>
              <w:t>11</w:t>
            </w:r>
          </w:p>
        </w:tc>
        <w:tc>
          <w:tcPr>
            <w:tcW w:w="3057" w:type="dxa"/>
            <w:shd w:val="clear" w:color="auto" w:fill="auto"/>
            <w:vAlign w:val="center"/>
          </w:tcPr>
          <w:p>
            <w:pPr>
              <w:keepNext w:val="0"/>
              <w:keepLines w:val="0"/>
              <w:pageBreakBefore w:val="0"/>
              <w:kinsoku/>
              <w:wordWrap/>
              <w:overflowPunct/>
              <w:topLinePunct w:val="0"/>
              <w:autoSpaceDE/>
              <w:autoSpaceDN/>
              <w:bidi w:val="0"/>
              <w:snapToGrid w:val="0"/>
              <w:spacing w:line="440" w:lineRule="exact"/>
              <w:jc w:val="center"/>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sz w:val="24"/>
                <w:szCs w:val="24"/>
              </w:rPr>
              <w:t>镜片光学中心垂直互差</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儿童玩具</w:t>
            </w:r>
          </w:p>
        </w:tc>
        <w:tc>
          <w:tcPr>
            <w:tcW w:w="1407"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塑料玩具</w:t>
            </w: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材料</w:t>
            </w:r>
          </w:p>
        </w:tc>
        <w:tc>
          <w:tcPr>
            <w:tcW w:w="265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GB 6675.1-2014           《玩具安全 第1部分：基本规范》            GB 6675.2-2014        《玩具安全 第2部分：机械与物理性能》</w:t>
            </w:r>
          </w:p>
        </w:tc>
        <w:tc>
          <w:tcPr>
            <w:tcW w:w="1265"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小零件</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边缘</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突出部件</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孔、间隙、机械装置的可触及性</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尖端</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可预见的合理滥用</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毛绒、布制玩具</w:t>
            </w: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燃烧性能</w:t>
            </w:r>
          </w:p>
        </w:tc>
        <w:tc>
          <w:tcPr>
            <w:tcW w:w="265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GB/T 9832-2007              《毛绒、布制玩具》              GB 6675.3-2014              《玩具安全 第3部分：易燃性能》</w:t>
            </w: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缝纫拼缝及布绒牢度</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缝纫质量</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成品外表</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破洞</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表情装饰线</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填充物</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颗粒填充物内胆</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塑料制品</w:t>
            </w:r>
          </w:p>
        </w:tc>
        <w:tc>
          <w:tcPr>
            <w:tcW w:w="1407"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塑料购物袋</w:t>
            </w: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外观</w:t>
            </w:r>
          </w:p>
        </w:tc>
        <w:tc>
          <w:tcPr>
            <w:tcW w:w="265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GB/T21661-2020</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《塑料购物袋》</w:t>
            </w:r>
          </w:p>
        </w:tc>
        <w:tc>
          <w:tcPr>
            <w:tcW w:w="1265"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环保要求（最小厚度）</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厚度极限偏差</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厚度平均偏差</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食品相关制品</w:t>
            </w:r>
          </w:p>
        </w:tc>
        <w:tc>
          <w:tcPr>
            <w:tcW w:w="1407"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食品接触塑料制品</w:t>
            </w: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感官</w:t>
            </w:r>
          </w:p>
        </w:tc>
        <w:tc>
          <w:tcPr>
            <w:tcW w:w="265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GB 4806.7-2016             《食品安全国家标准 食品接触用塑料材料及制品》</w:t>
            </w:r>
          </w:p>
        </w:tc>
        <w:tc>
          <w:tcPr>
            <w:tcW w:w="1265"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浸泡液</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高锰酸钾消耗量</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重金属（以铅计）</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总迁移量</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脱色试验</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手洗餐具用洗涤剂</w:t>
            </w: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外观</w:t>
            </w:r>
          </w:p>
        </w:tc>
        <w:tc>
          <w:tcPr>
            <w:tcW w:w="265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GB/T 9985-2000       《手洗餐具用洗涤剂》</w:t>
            </w:r>
          </w:p>
        </w:tc>
        <w:tc>
          <w:tcPr>
            <w:tcW w:w="1265"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气味</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稳定性</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总活性物含量</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pH（25℃，1%溶液）</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荧光增白剂</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甲醛</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bookmarkStart w:id="0" w:name="_GoBack"/>
            <w:bookmarkEnd w:id="0"/>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pageBreakBefore w:val="0"/>
              <w:kinsoku/>
              <w:wordWrap/>
              <w:overflowPunct/>
              <w:topLinePunct w:val="0"/>
              <w:autoSpaceDE/>
              <w:autoSpaceDN/>
              <w:bidi w:val="0"/>
              <w:adjustRightInd/>
              <w:snapToGrid w:val="0"/>
              <w:spacing w:line="440" w:lineRule="exact"/>
              <w:jc w:val="center"/>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w:t>
            </w:r>
          </w:p>
        </w:tc>
        <w:tc>
          <w:tcPr>
            <w:tcW w:w="3057" w:type="dxa"/>
            <w:shd w:val="clear" w:color="auto" w:fill="auto"/>
            <w:vAlign w:val="center"/>
          </w:tcPr>
          <w:p>
            <w:pPr>
              <w:keepNext w:val="0"/>
              <w:keepLines w:val="0"/>
              <w:pageBreakBefore w:val="0"/>
              <w:kinsoku/>
              <w:wordWrap/>
              <w:overflowPunct/>
              <w:topLinePunct w:val="0"/>
              <w:autoSpaceDE/>
              <w:autoSpaceDN/>
              <w:bidi w:val="0"/>
              <w:adjustRightInd/>
              <w:snapToGrid w:val="0"/>
              <w:spacing w:line="440" w:lineRule="exact"/>
              <w:jc w:val="center"/>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sz w:val="24"/>
                <w:szCs w:val="24"/>
              </w:rPr>
              <w:t>容量偏差</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pageBreakBefore w:val="0"/>
              <w:kinsoku/>
              <w:wordWrap/>
              <w:overflowPunct/>
              <w:topLinePunct w:val="0"/>
              <w:autoSpaceDE/>
              <w:autoSpaceDN/>
              <w:bidi w:val="0"/>
              <w:adjustRightInd/>
              <w:snapToGrid w:val="0"/>
              <w:spacing w:line="440" w:lineRule="exact"/>
              <w:jc w:val="center"/>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w:t>
            </w:r>
          </w:p>
        </w:tc>
        <w:tc>
          <w:tcPr>
            <w:tcW w:w="3057" w:type="dxa"/>
            <w:shd w:val="clear" w:color="auto" w:fill="auto"/>
            <w:vAlign w:val="center"/>
          </w:tcPr>
          <w:p>
            <w:pPr>
              <w:keepNext w:val="0"/>
              <w:keepLines w:val="0"/>
              <w:pageBreakBefore w:val="0"/>
              <w:kinsoku/>
              <w:wordWrap/>
              <w:overflowPunct/>
              <w:topLinePunct w:val="0"/>
              <w:autoSpaceDE/>
              <w:autoSpaceDN/>
              <w:bidi w:val="0"/>
              <w:adjustRightInd/>
              <w:snapToGrid w:val="0"/>
              <w:spacing w:line="440" w:lineRule="exact"/>
              <w:jc w:val="center"/>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sz w:val="24"/>
                <w:szCs w:val="24"/>
              </w:rPr>
              <w:t>渗漏性能</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pageBreakBefore w:val="0"/>
              <w:kinsoku/>
              <w:wordWrap/>
              <w:overflowPunct/>
              <w:topLinePunct w:val="0"/>
              <w:autoSpaceDE/>
              <w:autoSpaceDN/>
              <w:bidi w:val="0"/>
              <w:adjustRightInd/>
              <w:snapToGrid w:val="0"/>
              <w:spacing w:line="440" w:lineRule="exact"/>
              <w:jc w:val="center"/>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4</w:t>
            </w:r>
          </w:p>
        </w:tc>
        <w:tc>
          <w:tcPr>
            <w:tcW w:w="3057" w:type="dxa"/>
            <w:shd w:val="clear" w:color="auto" w:fill="auto"/>
            <w:vAlign w:val="center"/>
          </w:tcPr>
          <w:p>
            <w:pPr>
              <w:keepNext w:val="0"/>
              <w:keepLines w:val="0"/>
              <w:pageBreakBefore w:val="0"/>
              <w:kinsoku/>
              <w:wordWrap/>
              <w:overflowPunct/>
              <w:topLinePunct w:val="0"/>
              <w:autoSpaceDE/>
              <w:autoSpaceDN/>
              <w:bidi w:val="0"/>
              <w:adjustRightInd/>
              <w:snapToGrid w:val="0"/>
              <w:spacing w:line="440" w:lineRule="exact"/>
              <w:jc w:val="center"/>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sz w:val="24"/>
                <w:szCs w:val="24"/>
              </w:rPr>
              <w:t>杯身挺度</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pageBreakBefore w:val="0"/>
              <w:kinsoku/>
              <w:wordWrap/>
              <w:overflowPunct/>
              <w:topLinePunct w:val="0"/>
              <w:autoSpaceDE/>
              <w:autoSpaceDN/>
              <w:bidi w:val="0"/>
              <w:adjustRightInd/>
              <w:snapToGrid w:val="0"/>
              <w:spacing w:line="440" w:lineRule="exact"/>
              <w:jc w:val="center"/>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5</w:t>
            </w:r>
          </w:p>
        </w:tc>
        <w:tc>
          <w:tcPr>
            <w:tcW w:w="3057" w:type="dxa"/>
            <w:shd w:val="clear" w:color="auto" w:fill="auto"/>
            <w:vAlign w:val="center"/>
          </w:tcPr>
          <w:p>
            <w:pPr>
              <w:keepNext w:val="0"/>
              <w:keepLines w:val="0"/>
              <w:pageBreakBefore w:val="0"/>
              <w:kinsoku/>
              <w:wordWrap/>
              <w:overflowPunct/>
              <w:topLinePunct w:val="0"/>
              <w:autoSpaceDE/>
              <w:autoSpaceDN/>
              <w:bidi w:val="0"/>
              <w:adjustRightInd/>
              <w:snapToGrid w:val="0"/>
              <w:spacing w:line="440" w:lineRule="exact"/>
              <w:jc w:val="center"/>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sz w:val="24"/>
                <w:szCs w:val="24"/>
              </w:rPr>
              <w:t>感官要求</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pageBreakBefore w:val="0"/>
              <w:kinsoku/>
              <w:wordWrap/>
              <w:overflowPunct/>
              <w:topLinePunct w:val="0"/>
              <w:autoSpaceDE/>
              <w:autoSpaceDN/>
              <w:bidi w:val="0"/>
              <w:adjustRightInd/>
              <w:snapToGrid w:val="0"/>
              <w:spacing w:line="440" w:lineRule="exact"/>
              <w:jc w:val="center"/>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6</w:t>
            </w:r>
          </w:p>
        </w:tc>
        <w:tc>
          <w:tcPr>
            <w:tcW w:w="3057" w:type="dxa"/>
            <w:shd w:val="clear" w:color="auto" w:fill="auto"/>
            <w:vAlign w:val="center"/>
          </w:tcPr>
          <w:p>
            <w:pPr>
              <w:keepNext w:val="0"/>
              <w:keepLines w:val="0"/>
              <w:pageBreakBefore w:val="0"/>
              <w:kinsoku/>
              <w:wordWrap/>
              <w:overflowPunct/>
              <w:topLinePunct w:val="0"/>
              <w:autoSpaceDE/>
              <w:autoSpaceDN/>
              <w:bidi w:val="0"/>
              <w:adjustRightInd/>
              <w:snapToGrid w:val="0"/>
              <w:spacing w:line="440" w:lineRule="exact"/>
              <w:jc w:val="center"/>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sz w:val="24"/>
                <w:szCs w:val="24"/>
              </w:rPr>
              <w:t>荧光性物质</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pageBreakBefore w:val="0"/>
              <w:kinsoku/>
              <w:wordWrap/>
              <w:overflowPunct/>
              <w:topLinePunct w:val="0"/>
              <w:autoSpaceDE/>
              <w:autoSpaceDN/>
              <w:bidi w:val="0"/>
              <w:adjustRightInd/>
              <w:snapToGrid w:val="0"/>
              <w:spacing w:line="440" w:lineRule="exact"/>
              <w:jc w:val="center"/>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7</w:t>
            </w:r>
          </w:p>
        </w:tc>
        <w:tc>
          <w:tcPr>
            <w:tcW w:w="3057" w:type="dxa"/>
            <w:shd w:val="clear" w:color="auto" w:fill="auto"/>
            <w:vAlign w:val="center"/>
          </w:tcPr>
          <w:p>
            <w:pPr>
              <w:keepNext w:val="0"/>
              <w:keepLines w:val="0"/>
              <w:pageBreakBefore w:val="0"/>
              <w:kinsoku/>
              <w:wordWrap/>
              <w:overflowPunct/>
              <w:topLinePunct w:val="0"/>
              <w:autoSpaceDE/>
              <w:autoSpaceDN/>
              <w:bidi w:val="0"/>
              <w:adjustRightInd/>
              <w:snapToGrid w:val="0"/>
              <w:spacing w:line="440" w:lineRule="exact"/>
              <w:jc w:val="center"/>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sz w:val="24"/>
                <w:szCs w:val="24"/>
              </w:rPr>
              <w:t>高锰酸钾消耗量</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pageBreakBefore w:val="0"/>
              <w:kinsoku/>
              <w:wordWrap/>
              <w:overflowPunct/>
              <w:topLinePunct w:val="0"/>
              <w:autoSpaceDE/>
              <w:autoSpaceDN/>
              <w:bidi w:val="0"/>
              <w:adjustRightInd/>
              <w:snapToGrid w:val="0"/>
              <w:spacing w:line="440" w:lineRule="exact"/>
              <w:jc w:val="center"/>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8</w:t>
            </w:r>
          </w:p>
        </w:tc>
        <w:tc>
          <w:tcPr>
            <w:tcW w:w="3057" w:type="dxa"/>
            <w:shd w:val="clear" w:color="auto" w:fill="auto"/>
            <w:vAlign w:val="center"/>
          </w:tcPr>
          <w:p>
            <w:pPr>
              <w:keepNext w:val="0"/>
              <w:keepLines w:val="0"/>
              <w:pageBreakBefore w:val="0"/>
              <w:kinsoku/>
              <w:wordWrap/>
              <w:overflowPunct/>
              <w:topLinePunct w:val="0"/>
              <w:autoSpaceDE/>
              <w:autoSpaceDN/>
              <w:bidi w:val="0"/>
              <w:adjustRightInd/>
              <w:snapToGrid w:val="0"/>
              <w:spacing w:line="440" w:lineRule="exact"/>
              <w:jc w:val="center"/>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sz w:val="24"/>
                <w:szCs w:val="24"/>
              </w:rPr>
              <w:t>重金属</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80" w:hRule="atLeast"/>
          <w:jc w:val="center"/>
        </w:trPr>
        <w:tc>
          <w:tcPr>
            <w:tcW w:w="116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液化石油气</w:t>
            </w:r>
          </w:p>
        </w:tc>
        <w:tc>
          <w:tcPr>
            <w:tcW w:w="1407"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液化石油气</w:t>
            </w: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蒸气压</w:t>
            </w:r>
          </w:p>
        </w:tc>
        <w:tc>
          <w:tcPr>
            <w:tcW w:w="265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GB 11174-2011          《液化石油气》</w:t>
            </w:r>
          </w:p>
        </w:tc>
        <w:tc>
          <w:tcPr>
            <w:tcW w:w="1265"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组分</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残留物</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铜片腐蚀</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二甲醚含量</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农资</w:t>
            </w:r>
          </w:p>
        </w:tc>
        <w:tc>
          <w:tcPr>
            <w:tcW w:w="1407"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复合肥料</w:t>
            </w: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总氮</w:t>
            </w:r>
          </w:p>
        </w:tc>
        <w:tc>
          <w:tcPr>
            <w:tcW w:w="265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GB/T 15063-2009</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《复混肥料(复合肥料)》</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GB/T 15063-2020</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《复合肥料》</w:t>
            </w:r>
          </w:p>
        </w:tc>
        <w:tc>
          <w:tcPr>
            <w:tcW w:w="1265"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有效磷</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水溶性磷占有效磷百分率</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氧化钾</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氯离子</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水分</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粒度</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缩二脲</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铜含量</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铁含量</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11</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锰含量</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锌含量</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13</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镁含量</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尿素</w:t>
            </w: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外观</w:t>
            </w:r>
          </w:p>
        </w:tc>
        <w:tc>
          <w:tcPr>
            <w:tcW w:w="265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GB/T 2440-2017</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《尿素》</w:t>
            </w:r>
          </w:p>
        </w:tc>
        <w:tc>
          <w:tcPr>
            <w:tcW w:w="1265"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总氮</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缩二脲</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水分</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亚甲基二脲（以HCHO计）</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粒度</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磷酸一铵、磷酸二铵</w:t>
            </w: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总养分</w:t>
            </w:r>
          </w:p>
        </w:tc>
        <w:tc>
          <w:tcPr>
            <w:tcW w:w="265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GB/T 10205-2009</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《磷酸一铵、磷酸二铵》</w:t>
            </w:r>
          </w:p>
        </w:tc>
        <w:tc>
          <w:tcPr>
            <w:tcW w:w="1265"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总氮</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有效磷</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水溶性磷占有效磷百分率</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水分</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粒度</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jc w:val="center"/>
        </w:trPr>
        <w:tc>
          <w:tcPr>
            <w:tcW w:w="116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黄金珠宝贵金属</w:t>
            </w:r>
          </w:p>
        </w:tc>
        <w:tc>
          <w:tcPr>
            <w:tcW w:w="1407"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贵金属饰品（镶嵌贵金属饰品除外）</w:t>
            </w: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纯度（含量）</w:t>
            </w:r>
          </w:p>
        </w:tc>
        <w:tc>
          <w:tcPr>
            <w:tcW w:w="265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GB/T 18043-2013</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GB 11887-2012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QB/T 2062-2015</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GB/T 36128-2018</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QB/T 1690-2021</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GB/T 31912-2015   （根据产品的明示执行标准不同，检测项目有所不同）</w:t>
            </w:r>
          </w:p>
        </w:tc>
        <w:tc>
          <w:tcPr>
            <w:tcW w:w="1265"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质量</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印记-印记的内容</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印记-纯度及材料印记的表示方法</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标签</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命名规则</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贵金属珠宝玉石（镶嵌珠宝玉石除外）</w:t>
            </w: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肉眼观察（外观描述）</w:t>
            </w:r>
          </w:p>
        </w:tc>
        <w:tc>
          <w:tcPr>
            <w:tcW w:w="265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QB/T 2062-2015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GB/T 16553-2017</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GB/T 16552-2017        （根据产品的明示执行标准不同，检测项目有所不同）</w:t>
            </w:r>
          </w:p>
        </w:tc>
        <w:tc>
          <w:tcPr>
            <w:tcW w:w="1265"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放大检查</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折射率/双折射率</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光性特征</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多色性</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荧光观察</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总质量</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密度</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红外光谱分析</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名称</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消防产品</w:t>
            </w:r>
          </w:p>
        </w:tc>
        <w:tc>
          <w:tcPr>
            <w:tcW w:w="1407"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手提式灭火器</w:t>
            </w: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灭火器总质量</w:t>
            </w:r>
          </w:p>
        </w:tc>
        <w:tc>
          <w:tcPr>
            <w:tcW w:w="265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GB 4351.1-2005          《手提式灭火器性能和结构要求》</w:t>
            </w:r>
          </w:p>
        </w:tc>
        <w:tc>
          <w:tcPr>
            <w:tcW w:w="1265"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灭火剂充装总量误差</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20℃±5℃喷射性能</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筒体水压试验</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筒体爆破试验</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灭火剂主要组分含量    （磷酸二氢铵）</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充装口内径</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消防水带</w:t>
            </w: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外观质量</w:t>
            </w:r>
          </w:p>
        </w:tc>
        <w:tc>
          <w:tcPr>
            <w:tcW w:w="265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GB 6246-2011            《消防水带》</w:t>
            </w:r>
          </w:p>
        </w:tc>
        <w:tc>
          <w:tcPr>
            <w:tcW w:w="1265"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内径</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长度</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水压试验与爆破试验</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单位长度质量</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附着强度</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水带与消防接口连接性能</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消防应急照明灯</w:t>
            </w: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电压波动性能</w:t>
            </w:r>
          </w:p>
        </w:tc>
        <w:tc>
          <w:tcPr>
            <w:tcW w:w="265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GB 17945-2010                 《消防应急照明和疏散指示系统》</w:t>
            </w:r>
          </w:p>
        </w:tc>
        <w:tc>
          <w:tcPr>
            <w:tcW w:w="1265"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转换电压性能</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绝缘性能</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耐压性能</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接地电阻试验</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系统与整机性能         （应急工作时间）</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室内消火栓</w:t>
            </w: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外观质量</w:t>
            </w:r>
          </w:p>
        </w:tc>
        <w:tc>
          <w:tcPr>
            <w:tcW w:w="265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GB 3445-2018              《室内消火栓》</w:t>
            </w:r>
          </w:p>
        </w:tc>
        <w:tc>
          <w:tcPr>
            <w:tcW w:w="1265"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基本尺寸与公差</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螺纹</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水压强度</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标志</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开启高度</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旋转性能</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手轮</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学生文具</w:t>
            </w:r>
          </w:p>
        </w:tc>
        <w:tc>
          <w:tcPr>
            <w:tcW w:w="1407"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中性笔</w:t>
            </w: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初写性能</w:t>
            </w:r>
          </w:p>
        </w:tc>
        <w:tc>
          <w:tcPr>
            <w:tcW w:w="265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GB/T 37853-2019      《中性墨水圆珠笔和笔芯》</w:t>
            </w:r>
          </w:p>
        </w:tc>
        <w:tc>
          <w:tcPr>
            <w:tcW w:w="1265"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书写性能</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渗透性</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干燥性</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复印性</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出芯机构灵活性</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笔杆头部孔径与笔头外径差值</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外观</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restart"/>
            <w:shd w:val="clear" w:color="auto" w:fill="auto"/>
            <w:vAlign w:val="center"/>
          </w:tcPr>
          <w:p>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lang w:eastAsia="zh-CN"/>
              </w:rPr>
              <w:t>中性笔</w:t>
            </w:r>
          </w:p>
        </w:tc>
        <w:tc>
          <w:tcPr>
            <w:tcW w:w="71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440" w:lineRule="exact"/>
              <w:jc w:val="center"/>
              <w:textAlignment w:val="auto"/>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w:t>
            </w:r>
          </w:p>
        </w:tc>
        <w:tc>
          <w:tcPr>
            <w:tcW w:w="3057" w:type="dxa"/>
            <w:shd w:val="clear" w:color="auto" w:fill="auto"/>
            <w:vAlign w:val="center"/>
          </w:tcPr>
          <w:p>
            <w:pPr>
              <w:keepNext w:val="0"/>
              <w:keepLines w:val="0"/>
              <w:pageBreakBefore w:val="0"/>
              <w:kinsoku/>
              <w:wordWrap/>
              <w:overflowPunct/>
              <w:topLinePunct w:val="0"/>
              <w:autoSpaceDE/>
              <w:autoSpaceDN/>
              <w:bidi w:val="0"/>
              <w:adjustRightInd/>
              <w:snapToGrid w:val="0"/>
              <w:spacing w:line="440" w:lineRule="exact"/>
              <w:jc w:val="center"/>
              <w:textAlignment w:val="auto"/>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bCs/>
                <w:color w:val="auto"/>
                <w:sz w:val="24"/>
                <w:szCs w:val="24"/>
                <w:highlight w:val="none"/>
              </w:rPr>
              <w:t>初写性能</w:t>
            </w:r>
          </w:p>
        </w:tc>
        <w:tc>
          <w:tcPr>
            <w:tcW w:w="2653" w:type="dxa"/>
            <w:vMerge w:val="restart"/>
            <w:shd w:val="clear" w:color="auto" w:fill="auto"/>
            <w:vAlign w:val="center"/>
          </w:tcPr>
          <w:p>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QB/T 2625-2011《中性墨水圆珠笔和笔芯》</w:t>
            </w: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440" w:lineRule="exact"/>
              <w:jc w:val="center"/>
              <w:textAlignment w:val="auto"/>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w:t>
            </w:r>
          </w:p>
        </w:tc>
        <w:tc>
          <w:tcPr>
            <w:tcW w:w="3057" w:type="dxa"/>
            <w:shd w:val="clear" w:color="auto" w:fill="auto"/>
            <w:vAlign w:val="center"/>
          </w:tcPr>
          <w:p>
            <w:pPr>
              <w:keepNext w:val="0"/>
              <w:keepLines w:val="0"/>
              <w:pageBreakBefore w:val="0"/>
              <w:kinsoku/>
              <w:wordWrap/>
              <w:overflowPunct/>
              <w:topLinePunct w:val="0"/>
              <w:autoSpaceDE/>
              <w:autoSpaceDN/>
              <w:bidi w:val="0"/>
              <w:adjustRightInd/>
              <w:snapToGrid w:val="0"/>
              <w:spacing w:line="440" w:lineRule="exact"/>
              <w:jc w:val="center"/>
              <w:textAlignment w:val="auto"/>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bCs/>
                <w:color w:val="auto"/>
                <w:sz w:val="24"/>
                <w:szCs w:val="24"/>
                <w:highlight w:val="none"/>
              </w:rPr>
              <w:t>书写性能</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440" w:lineRule="exact"/>
              <w:jc w:val="center"/>
              <w:textAlignment w:val="auto"/>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w:t>
            </w:r>
          </w:p>
        </w:tc>
        <w:tc>
          <w:tcPr>
            <w:tcW w:w="3057" w:type="dxa"/>
            <w:shd w:val="clear" w:color="auto" w:fill="auto"/>
            <w:vAlign w:val="center"/>
          </w:tcPr>
          <w:p>
            <w:pPr>
              <w:keepNext w:val="0"/>
              <w:keepLines w:val="0"/>
              <w:pageBreakBefore w:val="0"/>
              <w:kinsoku/>
              <w:wordWrap/>
              <w:overflowPunct/>
              <w:topLinePunct w:val="0"/>
              <w:autoSpaceDE/>
              <w:autoSpaceDN/>
              <w:bidi w:val="0"/>
              <w:adjustRightInd/>
              <w:snapToGrid w:val="0"/>
              <w:spacing w:line="440" w:lineRule="exact"/>
              <w:jc w:val="center"/>
              <w:textAlignment w:val="auto"/>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bCs/>
                <w:color w:val="auto"/>
                <w:sz w:val="24"/>
                <w:szCs w:val="24"/>
                <w:highlight w:val="none"/>
              </w:rPr>
              <w:t>渗透性</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440" w:lineRule="exact"/>
              <w:jc w:val="center"/>
              <w:textAlignment w:val="auto"/>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4</w:t>
            </w:r>
          </w:p>
        </w:tc>
        <w:tc>
          <w:tcPr>
            <w:tcW w:w="3057" w:type="dxa"/>
            <w:shd w:val="clear" w:color="auto" w:fill="auto"/>
            <w:vAlign w:val="center"/>
          </w:tcPr>
          <w:p>
            <w:pPr>
              <w:keepNext w:val="0"/>
              <w:keepLines w:val="0"/>
              <w:pageBreakBefore w:val="0"/>
              <w:kinsoku/>
              <w:wordWrap/>
              <w:overflowPunct/>
              <w:topLinePunct w:val="0"/>
              <w:autoSpaceDE/>
              <w:autoSpaceDN/>
              <w:bidi w:val="0"/>
              <w:adjustRightInd/>
              <w:snapToGrid w:val="0"/>
              <w:spacing w:line="440" w:lineRule="exact"/>
              <w:jc w:val="center"/>
              <w:textAlignment w:val="auto"/>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bCs/>
                <w:color w:val="auto"/>
                <w:sz w:val="24"/>
                <w:szCs w:val="24"/>
                <w:highlight w:val="none"/>
              </w:rPr>
              <w:t>干燥性</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440" w:lineRule="exact"/>
              <w:jc w:val="center"/>
              <w:textAlignment w:val="auto"/>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c>
          <w:tcPr>
            <w:tcW w:w="3057" w:type="dxa"/>
            <w:shd w:val="clear" w:color="auto" w:fill="auto"/>
            <w:vAlign w:val="center"/>
          </w:tcPr>
          <w:p>
            <w:pPr>
              <w:keepNext w:val="0"/>
              <w:keepLines w:val="0"/>
              <w:pageBreakBefore w:val="0"/>
              <w:kinsoku/>
              <w:wordWrap/>
              <w:overflowPunct/>
              <w:topLinePunct w:val="0"/>
              <w:autoSpaceDE/>
              <w:autoSpaceDN/>
              <w:bidi w:val="0"/>
              <w:adjustRightInd/>
              <w:snapToGrid w:val="0"/>
              <w:spacing w:line="440" w:lineRule="exact"/>
              <w:jc w:val="center"/>
              <w:textAlignment w:val="auto"/>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bCs/>
                <w:color w:val="auto"/>
                <w:sz w:val="24"/>
                <w:szCs w:val="24"/>
                <w:highlight w:val="none"/>
              </w:rPr>
              <w:t>复印性</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440" w:lineRule="exact"/>
              <w:jc w:val="center"/>
              <w:textAlignment w:val="auto"/>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6</w:t>
            </w:r>
          </w:p>
        </w:tc>
        <w:tc>
          <w:tcPr>
            <w:tcW w:w="3057" w:type="dxa"/>
            <w:shd w:val="clear" w:color="auto" w:fill="auto"/>
            <w:vAlign w:val="center"/>
          </w:tcPr>
          <w:p>
            <w:pPr>
              <w:keepNext w:val="0"/>
              <w:keepLines w:val="0"/>
              <w:pageBreakBefore w:val="0"/>
              <w:kinsoku/>
              <w:wordWrap/>
              <w:overflowPunct/>
              <w:topLinePunct w:val="0"/>
              <w:autoSpaceDE/>
              <w:autoSpaceDN/>
              <w:bidi w:val="0"/>
              <w:adjustRightInd/>
              <w:snapToGrid w:val="0"/>
              <w:spacing w:line="440" w:lineRule="exact"/>
              <w:jc w:val="center"/>
              <w:textAlignment w:val="auto"/>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bCs/>
                <w:color w:val="auto"/>
                <w:sz w:val="24"/>
                <w:szCs w:val="24"/>
                <w:highlight w:val="none"/>
              </w:rPr>
              <w:t>出芯机构灵活性</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440" w:lineRule="exact"/>
              <w:jc w:val="center"/>
              <w:textAlignment w:val="auto"/>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7</w:t>
            </w:r>
          </w:p>
        </w:tc>
        <w:tc>
          <w:tcPr>
            <w:tcW w:w="3057" w:type="dxa"/>
            <w:shd w:val="clear" w:color="auto" w:fill="auto"/>
            <w:vAlign w:val="center"/>
          </w:tcPr>
          <w:p>
            <w:pPr>
              <w:keepNext w:val="0"/>
              <w:keepLines w:val="0"/>
              <w:pageBreakBefore w:val="0"/>
              <w:kinsoku/>
              <w:wordWrap/>
              <w:overflowPunct/>
              <w:topLinePunct w:val="0"/>
              <w:autoSpaceDE/>
              <w:autoSpaceDN/>
              <w:bidi w:val="0"/>
              <w:adjustRightInd/>
              <w:snapToGrid w:val="0"/>
              <w:spacing w:line="440" w:lineRule="exact"/>
              <w:jc w:val="center"/>
              <w:textAlignment w:val="auto"/>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bCs/>
                <w:color w:val="auto"/>
                <w:sz w:val="24"/>
                <w:szCs w:val="24"/>
                <w:highlight w:val="none"/>
              </w:rPr>
              <w:t>笔杆头部孔径与笔头外径差值</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pacing w:line="440" w:lineRule="exact"/>
              <w:jc w:val="center"/>
              <w:textAlignment w:val="auto"/>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8</w:t>
            </w:r>
          </w:p>
        </w:tc>
        <w:tc>
          <w:tcPr>
            <w:tcW w:w="3057" w:type="dxa"/>
            <w:shd w:val="clear" w:color="auto" w:fill="auto"/>
            <w:vAlign w:val="center"/>
          </w:tcPr>
          <w:p>
            <w:pPr>
              <w:keepNext w:val="0"/>
              <w:keepLines w:val="0"/>
              <w:pageBreakBefore w:val="0"/>
              <w:kinsoku/>
              <w:wordWrap/>
              <w:overflowPunct/>
              <w:topLinePunct w:val="0"/>
              <w:autoSpaceDE/>
              <w:autoSpaceDN/>
              <w:bidi w:val="0"/>
              <w:adjustRightInd/>
              <w:snapToGrid w:val="0"/>
              <w:spacing w:line="440" w:lineRule="exact"/>
              <w:jc w:val="center"/>
              <w:textAlignment w:val="auto"/>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bCs/>
                <w:color w:val="auto"/>
                <w:sz w:val="24"/>
                <w:szCs w:val="24"/>
                <w:highlight w:val="none"/>
              </w:rPr>
              <w:t>外观</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铅笔</w:t>
            </w: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芯尖受力</w:t>
            </w:r>
          </w:p>
        </w:tc>
        <w:tc>
          <w:tcPr>
            <w:tcW w:w="265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GB/T 26704-2011      《铅笔》</w:t>
            </w:r>
          </w:p>
        </w:tc>
        <w:tc>
          <w:tcPr>
            <w:tcW w:w="1265"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磨耗</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滑芯</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笔杆涂层</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笔杆结合牢度</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杆内断芯</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外观</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圆珠笔</w:t>
            </w: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初写性能</w:t>
            </w:r>
          </w:p>
        </w:tc>
        <w:tc>
          <w:tcPr>
            <w:tcW w:w="265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GB/T 26714-2019      《油墨圆珠笔和笔芯》</w:t>
            </w:r>
          </w:p>
        </w:tc>
        <w:tc>
          <w:tcPr>
            <w:tcW w:w="1265"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书写性能</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渗透性</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干燥性</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复印性</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出芯机构灵活性</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笔杆头部孔径与笔头外径差值</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外观</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橡皮</w:t>
            </w: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外观要求</w:t>
            </w:r>
          </w:p>
        </w:tc>
        <w:tc>
          <w:tcPr>
            <w:tcW w:w="265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QB/T 2309-2020        《橡皮擦》</w:t>
            </w:r>
          </w:p>
        </w:tc>
        <w:tc>
          <w:tcPr>
            <w:tcW w:w="1265"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迁移性</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老化后硬度差</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造型产品的安全要求</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硬度</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消字率</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课业簿册</w:t>
            </w: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纸张定量</w:t>
            </w:r>
          </w:p>
        </w:tc>
        <w:tc>
          <w:tcPr>
            <w:tcW w:w="265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QB/T 1437-2014       《课业簿册》</w:t>
            </w:r>
          </w:p>
        </w:tc>
        <w:tc>
          <w:tcPr>
            <w:tcW w:w="1265"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破页</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脏迹</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白页</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印划线</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断线</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封面/封底</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内芯纸张施胶度</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成品尺寸偏差</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亮度（白度）</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卷笔刀</w:t>
            </w: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卷削能力</w:t>
            </w:r>
          </w:p>
        </w:tc>
        <w:tc>
          <w:tcPr>
            <w:tcW w:w="265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QB/T 1337-2010          《卷笔刀》</w:t>
            </w:r>
          </w:p>
        </w:tc>
        <w:tc>
          <w:tcPr>
            <w:tcW w:w="1265"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断铅</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笔芯锥度</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刀座牢度</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笔芯孔径</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耐腐蚀性</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使用安全性能</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学生书包</w:t>
            </w: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配件及安装</w:t>
            </w:r>
          </w:p>
        </w:tc>
        <w:tc>
          <w:tcPr>
            <w:tcW w:w="265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QB/T 2858-2007       GB 21027-2020等标准及产品明示标准</w:t>
            </w:r>
          </w:p>
        </w:tc>
        <w:tc>
          <w:tcPr>
            <w:tcW w:w="1265"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缝合线</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织物面料</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缝合线迹</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负重</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缝合强度</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拉链耐用度</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摩擦色牢度</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日用品</w:t>
            </w:r>
          </w:p>
        </w:tc>
        <w:tc>
          <w:tcPr>
            <w:tcW w:w="1407"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洗发水</w:t>
            </w: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外观</w:t>
            </w:r>
          </w:p>
        </w:tc>
        <w:tc>
          <w:tcPr>
            <w:tcW w:w="265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GB/T 29679-2013      《洗发液、洗发膏》</w:t>
            </w:r>
          </w:p>
        </w:tc>
        <w:tc>
          <w:tcPr>
            <w:tcW w:w="1265"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色泽</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耐热</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耐寒</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pH</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泡沫</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有效物含量</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沐浴剂</w:t>
            </w: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外观</w:t>
            </w:r>
          </w:p>
        </w:tc>
        <w:tc>
          <w:tcPr>
            <w:tcW w:w="265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GB/T 34857-2017       《沐浴剂》        QB/T 1994-2013        《沐浴剂》</w:t>
            </w:r>
          </w:p>
        </w:tc>
        <w:tc>
          <w:tcPr>
            <w:tcW w:w="1265"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气味</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稳定性</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总有效物</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pH(25℃)</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洗手液</w:t>
            </w: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外观</w:t>
            </w:r>
          </w:p>
        </w:tc>
        <w:tc>
          <w:tcPr>
            <w:tcW w:w="265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QB/T 2654-2013                《洗手液》         GB/T 34855-2017        《洗手液》</w:t>
            </w:r>
          </w:p>
        </w:tc>
        <w:tc>
          <w:tcPr>
            <w:tcW w:w="1265"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气味</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稳定性</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总有效物</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pH（10%水溶液，25℃）</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牙膏</w:t>
            </w: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砷（As）含量</w:t>
            </w:r>
          </w:p>
        </w:tc>
        <w:tc>
          <w:tcPr>
            <w:tcW w:w="265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GB/T 8372-2017            《牙膏》</w:t>
            </w:r>
          </w:p>
        </w:tc>
        <w:tc>
          <w:tcPr>
            <w:tcW w:w="1265"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膏体</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pH值</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稳定性</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过硬颗粒</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肥皂</w:t>
            </w: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包装外观</w:t>
            </w:r>
          </w:p>
        </w:tc>
        <w:tc>
          <w:tcPr>
            <w:tcW w:w="265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QB/T 2485-2008           《香皂》</w:t>
            </w:r>
          </w:p>
        </w:tc>
        <w:tc>
          <w:tcPr>
            <w:tcW w:w="1265"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皂体外观</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气味</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水分和挥发物</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游离苛性碱</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氯化物</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洗衣皂</w:t>
            </w: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包装外观</w:t>
            </w:r>
          </w:p>
        </w:tc>
        <w:tc>
          <w:tcPr>
            <w:tcW w:w="265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QB/T 2486-2008          《洗衣皂》</w:t>
            </w:r>
          </w:p>
        </w:tc>
        <w:tc>
          <w:tcPr>
            <w:tcW w:w="1265"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皂体外观</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气味</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乙醇不溶物</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氯化物</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游离苛性碱</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总五氧化二磷</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透明皂</w:t>
            </w: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包装外观</w:t>
            </w:r>
          </w:p>
        </w:tc>
        <w:tc>
          <w:tcPr>
            <w:tcW w:w="265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QB/T 1913-2004          《透明皂》</w:t>
            </w:r>
          </w:p>
        </w:tc>
        <w:tc>
          <w:tcPr>
            <w:tcW w:w="1265"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皂体外观</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气味</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水分和挥发物</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游离苛性碱</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氯化物</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衣料用液体洗涤剂</w:t>
            </w: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外观</w:t>
            </w:r>
          </w:p>
        </w:tc>
        <w:tc>
          <w:tcPr>
            <w:tcW w:w="265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QB/T 1224-2012           《衣料用液体洗涤剂》</w:t>
            </w:r>
          </w:p>
        </w:tc>
        <w:tc>
          <w:tcPr>
            <w:tcW w:w="1265"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稳定性</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总活性物</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pH</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总五氧化二磷</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规定污布的去污力</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生活用纸</w:t>
            </w:r>
          </w:p>
        </w:tc>
        <w:tc>
          <w:tcPr>
            <w:tcW w:w="1407"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卫生纸(含卫生纸原纸)</w:t>
            </w: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球形耐破度(成品层)</w:t>
            </w:r>
          </w:p>
        </w:tc>
        <w:tc>
          <w:tcPr>
            <w:tcW w:w="265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GB/T 20810-2018      《卫生纸（含卫生纸原纸）》</w:t>
            </w:r>
          </w:p>
        </w:tc>
        <w:tc>
          <w:tcPr>
            <w:tcW w:w="1265"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掉粉率</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定量</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D65亮度</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抗张指数</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柔软度（成品层纵横平均）</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洞眼</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尘埃度</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横向吸液高度（成品层）</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交货水分</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纸巾纸</w:t>
            </w: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定量</w:t>
            </w:r>
          </w:p>
        </w:tc>
        <w:tc>
          <w:tcPr>
            <w:tcW w:w="265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GB/T 20808-2011      《纸巾纸 》</w:t>
            </w:r>
          </w:p>
        </w:tc>
        <w:tc>
          <w:tcPr>
            <w:tcW w:w="1265"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亮度（白度）</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横向吸液高度</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横向抗张指数</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纵向湿抗张强度</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柔软度</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洞眼</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尘埃度</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交货水分</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内装量</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纸尿裤（婴儿）</w:t>
            </w:r>
          </w:p>
        </w:tc>
        <w:tc>
          <w:tcPr>
            <w:tcW w:w="1407"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纸尿裤(片、垫)</w:t>
            </w: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全长偏差</w:t>
            </w:r>
          </w:p>
        </w:tc>
        <w:tc>
          <w:tcPr>
            <w:tcW w:w="265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GB/T 28004-2011                《纸尿裤(片、垫)》</w:t>
            </w:r>
          </w:p>
        </w:tc>
        <w:tc>
          <w:tcPr>
            <w:tcW w:w="1265"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全宽偏差</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条质量偏差</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滑渗量</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回渗量</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渗漏量</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pH</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交货水分</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婴儿纸尿裤</w:t>
            </w: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条质量偏差</w:t>
            </w:r>
          </w:p>
        </w:tc>
        <w:tc>
          <w:tcPr>
            <w:tcW w:w="265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GB/T 28004.1-2021                   《纸尿裤 第1部分：婴儿纸尿裤 》</w:t>
            </w:r>
          </w:p>
        </w:tc>
        <w:tc>
          <w:tcPr>
            <w:tcW w:w="1265"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吸收速度</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回渗量</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渗漏量</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pH值</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杂质</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防侧漏性能</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交货水分</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电动车电池</w:t>
            </w:r>
          </w:p>
        </w:tc>
        <w:tc>
          <w:tcPr>
            <w:tcW w:w="1407"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电动自行车用阀控式铅酸蓄电池</w:t>
            </w: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外形尺寸</w:t>
            </w:r>
          </w:p>
        </w:tc>
        <w:tc>
          <w:tcPr>
            <w:tcW w:w="265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T/ZJXDC 001-2021      《电动自行车用阀控式铅酸蓄电池》</w:t>
            </w:r>
          </w:p>
        </w:tc>
        <w:tc>
          <w:tcPr>
            <w:tcW w:w="1265"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外观</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2hr容量</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大电流放电</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耐振动能力</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机械冲击</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电动自行车用密封铅酸蓄电池</w:t>
            </w: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蓄电池外观</w:t>
            </w:r>
          </w:p>
        </w:tc>
        <w:tc>
          <w:tcPr>
            <w:tcW w:w="265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QB/T 2947.1-2008                    《电动自行车用蓄电池及充电器 第1部分：密封铅酸蓄电池及充电器》</w:t>
            </w: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蓄电池端子</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2h率额定容量</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过放电性能</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过充电性能</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大电流放电性能</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耐振动性能</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电动助力车用阀控式铅酸蓄电池</w:t>
            </w: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外形尺寸</w:t>
            </w:r>
          </w:p>
        </w:tc>
        <w:tc>
          <w:tcPr>
            <w:tcW w:w="265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GB/T 22199.1-2017          《电动助力车用阀控式铅酸蓄电池 第1部分：技术条件》</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GB/T 22199.2-2017               《电动助力车用阀控式铅酸蓄电池 第2部分：产品品种和规格》</w:t>
            </w: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外观</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2hr容量</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大电流放电</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快速充电能力</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耐振动能力</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6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机油</w:t>
            </w:r>
          </w:p>
        </w:tc>
        <w:tc>
          <w:tcPr>
            <w:tcW w:w="1407"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机油</w:t>
            </w: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运动黏度</w:t>
            </w:r>
          </w:p>
        </w:tc>
        <w:tc>
          <w:tcPr>
            <w:tcW w:w="2653"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GB 11121-2006          《汽油机油》</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GB 11122-2006                《柴油机油》</w:t>
            </w:r>
          </w:p>
        </w:tc>
        <w:tc>
          <w:tcPr>
            <w:tcW w:w="1265"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黏度指数（单级）</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倾点</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水分</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泡沫性                 (泡沫倾向/泡沫稳定性)</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机械杂质</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6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407"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7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305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闪点（开口）</w:t>
            </w:r>
          </w:p>
        </w:tc>
        <w:tc>
          <w:tcPr>
            <w:tcW w:w="2653"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65" w:type="dxa"/>
            <w:vMerge w:val="continue"/>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0260" w:type="dxa"/>
            <w:gridSpan w:val="6"/>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批次合计：97     检测费合计：100000元（大写：壹拾万元整）</w:t>
            </w:r>
          </w:p>
        </w:tc>
      </w:tr>
    </w:tbl>
    <w:p>
      <w:pPr>
        <w:pStyle w:val="28"/>
        <w:rPr>
          <w:rFonts w:hint="eastAsia" w:ascii="仿宋" w:hAnsi="仿宋" w:eastAsia="仿宋" w:cs="仿宋"/>
          <w:sz w:val="24"/>
          <w:szCs w:val="24"/>
          <w:lang w:val="en-US" w:eastAsia="zh-CN"/>
        </w:rPr>
      </w:pPr>
    </w:p>
    <w:p>
      <w:pPr>
        <w:pStyle w:val="19"/>
        <w:numPr>
          <w:ilvl w:val="0"/>
          <w:numId w:val="0"/>
        </w:numPr>
        <w:jc w:val="left"/>
        <w:rPr>
          <w:rFonts w:hint="eastAsia"/>
          <w:lang w:eastAsia="zh-CN"/>
        </w:rPr>
      </w:pPr>
      <w:r>
        <w:rPr>
          <w:rFonts w:hint="eastAsia" w:ascii="黑体" w:hAnsi="黑体" w:eastAsia="黑体"/>
          <w:lang w:eastAsia="zh-CN"/>
        </w:rPr>
        <w:t>五、进度要求</w:t>
      </w:r>
    </w:p>
    <w:p>
      <w:pPr>
        <w:rPr>
          <w:rFonts w:hint="eastAsia"/>
          <w:lang w:eastAsia="zh-CN"/>
        </w:rPr>
      </w:pPr>
    </w:p>
    <w:tbl>
      <w:tblPr>
        <w:tblStyle w:val="23"/>
        <w:tblW w:w="91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8"/>
        <w:gridCol w:w="2484"/>
        <w:gridCol w:w="3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8" w:type="dxa"/>
          </w:tcPr>
          <w:p>
            <w:pPr>
              <w:numPr>
                <w:ilvl w:val="0"/>
                <w:numId w:val="0"/>
              </w:numPr>
              <w:jc w:val="center"/>
              <w:rPr>
                <w:rFonts w:hint="eastAsia"/>
                <w:vertAlign w:val="baseline"/>
                <w:lang w:eastAsia="zh-CN"/>
              </w:rPr>
            </w:pPr>
            <w:r>
              <w:rPr>
                <w:rFonts w:hint="eastAsia" w:ascii="仿宋" w:hAnsi="仿宋" w:eastAsia="仿宋" w:cs="仿宋"/>
                <w:color w:val="auto"/>
                <w:kern w:val="2"/>
                <w:sz w:val="28"/>
                <w:szCs w:val="28"/>
                <w:lang w:val="en-US" w:eastAsia="zh-CN" w:bidi="ar-SA"/>
              </w:rPr>
              <w:t>工作过程</w:t>
            </w:r>
          </w:p>
        </w:tc>
        <w:tc>
          <w:tcPr>
            <w:tcW w:w="5604" w:type="dxa"/>
            <w:gridSpan w:val="2"/>
          </w:tcPr>
          <w:p>
            <w:pPr>
              <w:numPr>
                <w:ilvl w:val="0"/>
                <w:numId w:val="0"/>
              </w:numPr>
              <w:jc w:val="center"/>
              <w:rPr>
                <w:rFonts w:hint="eastAsia"/>
                <w:vertAlign w:val="baseline"/>
                <w:lang w:eastAsia="zh-CN"/>
              </w:rPr>
            </w:pPr>
            <w:r>
              <w:rPr>
                <w:rFonts w:hint="eastAsia" w:ascii="仿宋" w:hAnsi="仿宋" w:eastAsia="仿宋" w:cs="仿宋"/>
                <w:color w:val="auto"/>
                <w:kern w:val="2"/>
                <w:sz w:val="28"/>
                <w:szCs w:val="28"/>
                <w:lang w:val="en-US" w:eastAsia="zh-CN" w:bidi="ar-SA"/>
              </w:rPr>
              <w:t>分工和进度要求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8" w:type="dxa"/>
            <w:vMerge w:val="restart"/>
          </w:tcPr>
          <w:p>
            <w:pPr>
              <w:numPr>
                <w:ilvl w:val="0"/>
                <w:numId w:val="0"/>
              </w:numPr>
              <w:rPr>
                <w:rFonts w:hint="eastAsia"/>
                <w:vertAlign w:val="baseline"/>
                <w:lang w:eastAsia="zh-CN"/>
              </w:rPr>
            </w:pPr>
            <w:r>
              <w:rPr>
                <w:rFonts w:hint="eastAsia" w:ascii="仿宋" w:hAnsi="仿宋" w:eastAsia="仿宋" w:cs="仿宋"/>
                <w:color w:val="auto"/>
                <w:kern w:val="2"/>
                <w:sz w:val="28"/>
                <w:szCs w:val="28"/>
                <w:lang w:val="en-US" w:eastAsia="zh-CN" w:bidi="ar-SA"/>
              </w:rPr>
              <w:t>组织、承检机构</w:t>
            </w:r>
          </w:p>
        </w:tc>
        <w:tc>
          <w:tcPr>
            <w:tcW w:w="2484" w:type="dxa"/>
            <w:vAlign w:val="center"/>
          </w:tcPr>
          <w:p>
            <w:pPr>
              <w:spacing w:line="440" w:lineRule="exact"/>
              <w:jc w:val="center"/>
              <w:rPr>
                <w:rFonts w:hint="eastAsia"/>
                <w:vertAlign w:val="baseline"/>
                <w:lang w:eastAsia="zh-CN"/>
              </w:rPr>
            </w:pPr>
            <w:r>
              <w:rPr>
                <w:rFonts w:hint="eastAsia" w:ascii="仿宋" w:hAnsi="仿宋" w:eastAsia="仿宋" w:cs="仿宋"/>
                <w:color w:val="auto"/>
                <w:kern w:val="2"/>
                <w:sz w:val="28"/>
                <w:szCs w:val="28"/>
                <w:lang w:val="en-US" w:eastAsia="zh-CN" w:bidi="ar-SA"/>
              </w:rPr>
              <w:t>组织单位</w:t>
            </w:r>
          </w:p>
        </w:tc>
        <w:tc>
          <w:tcPr>
            <w:tcW w:w="3120" w:type="dxa"/>
            <w:vAlign w:val="center"/>
          </w:tcPr>
          <w:p>
            <w:pPr>
              <w:spacing w:line="440" w:lineRule="exact"/>
              <w:jc w:val="center"/>
              <w:rPr>
                <w:rFonts w:hint="eastAsia"/>
                <w:vertAlign w:val="baseline"/>
                <w:lang w:eastAsia="zh-CN"/>
              </w:rPr>
            </w:pPr>
            <w:r>
              <w:rPr>
                <w:rFonts w:hint="eastAsia" w:ascii="仿宋" w:hAnsi="仿宋" w:eastAsia="仿宋" w:cs="仿宋"/>
                <w:color w:val="auto"/>
                <w:kern w:val="2"/>
                <w:sz w:val="28"/>
                <w:szCs w:val="28"/>
                <w:lang w:val="en-US" w:eastAsia="zh-CN" w:bidi="ar-SA"/>
              </w:rPr>
              <w:t>承检单位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8" w:type="dxa"/>
            <w:vMerge w:val="continue"/>
          </w:tcPr>
          <w:p>
            <w:pPr>
              <w:numPr>
                <w:ilvl w:val="0"/>
                <w:numId w:val="0"/>
              </w:numPr>
              <w:rPr>
                <w:rFonts w:hint="eastAsia"/>
                <w:vertAlign w:val="baseline"/>
                <w:lang w:eastAsia="zh-CN"/>
              </w:rPr>
            </w:pPr>
          </w:p>
        </w:tc>
        <w:tc>
          <w:tcPr>
            <w:tcW w:w="2484" w:type="dxa"/>
            <w:vAlign w:val="center"/>
          </w:tcPr>
          <w:p>
            <w:pPr>
              <w:spacing w:line="440" w:lineRule="exact"/>
              <w:jc w:val="center"/>
              <w:rPr>
                <w:rFonts w:hint="eastAsia"/>
                <w:vertAlign w:val="baseline"/>
                <w:lang w:eastAsia="zh-CN"/>
              </w:rPr>
            </w:pPr>
            <w:r>
              <w:rPr>
                <w:rFonts w:hint="eastAsia" w:ascii="仿宋" w:hAnsi="仿宋" w:eastAsia="仿宋" w:cs="仿宋"/>
                <w:color w:val="auto"/>
                <w:kern w:val="2"/>
                <w:sz w:val="28"/>
                <w:szCs w:val="28"/>
                <w:lang w:val="en-US" w:eastAsia="zh-CN" w:bidi="ar-SA"/>
              </w:rPr>
              <w:t>扎兰屯市市场监督管理局</w:t>
            </w:r>
          </w:p>
        </w:tc>
        <w:tc>
          <w:tcPr>
            <w:tcW w:w="3120" w:type="dxa"/>
            <w:vAlign w:val="center"/>
          </w:tcPr>
          <w:p>
            <w:pPr>
              <w:spacing w:line="440" w:lineRule="exact"/>
              <w:jc w:val="center"/>
              <w:rPr>
                <w:rFonts w:hint="eastAsia"/>
                <w:vertAlign w:val="baseline"/>
                <w:lang w:eastAsia="zh-CN"/>
              </w:rPr>
            </w:pPr>
            <w:r>
              <w:rPr>
                <w:rFonts w:hint="eastAsia" w:ascii="仿宋" w:hAnsi="仿宋" w:eastAsia="仿宋" w:cs="仿宋"/>
                <w:color w:val="auto"/>
                <w:kern w:val="2"/>
                <w:sz w:val="28"/>
                <w:szCs w:val="28"/>
                <w:lang w:val="en-US" w:eastAsia="zh-CN" w:bidi="ar-SA"/>
              </w:rPr>
              <w:t>山东精准产品质量检测有限公司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8" w:type="dxa"/>
            <w:vAlign w:val="center"/>
          </w:tcPr>
          <w:p>
            <w:pPr>
              <w:spacing w:line="440" w:lineRule="exact"/>
              <w:rPr>
                <w:rFonts w:hint="eastAsia"/>
                <w:vertAlign w:val="baseline"/>
                <w:lang w:eastAsia="zh-CN"/>
              </w:rPr>
            </w:pPr>
            <w:r>
              <w:rPr>
                <w:rFonts w:hint="eastAsia" w:ascii="仿宋" w:hAnsi="仿宋" w:eastAsia="仿宋" w:cs="仿宋"/>
                <w:color w:val="auto"/>
                <w:kern w:val="2"/>
                <w:sz w:val="28"/>
                <w:szCs w:val="28"/>
                <w:lang w:val="en-US" w:eastAsia="zh-CN" w:bidi="ar-SA"/>
              </w:rPr>
              <w:t>抽样人员名单表报送</w:t>
            </w:r>
          </w:p>
        </w:tc>
        <w:tc>
          <w:tcPr>
            <w:tcW w:w="5604" w:type="dxa"/>
            <w:gridSpan w:val="2"/>
            <w:vAlign w:val="center"/>
          </w:tcPr>
          <w:p>
            <w:pPr>
              <w:spacing w:line="440" w:lineRule="exact"/>
              <w:rPr>
                <w:rFonts w:hint="eastAsia"/>
                <w:vertAlign w:val="baseline"/>
                <w:lang w:eastAsia="zh-CN"/>
              </w:rPr>
            </w:pPr>
            <w:r>
              <w:rPr>
                <w:rFonts w:hint="eastAsia" w:ascii="仿宋" w:hAnsi="仿宋" w:eastAsia="仿宋" w:cs="仿宋"/>
                <w:color w:val="auto"/>
                <w:kern w:val="2"/>
                <w:sz w:val="28"/>
                <w:szCs w:val="28"/>
                <w:lang w:val="en-US" w:eastAsia="zh-CN" w:bidi="ar-SA"/>
              </w:rPr>
              <w:t>任务部署后5日内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8" w:type="dxa"/>
            <w:vAlign w:val="center"/>
          </w:tcPr>
          <w:p>
            <w:pPr>
              <w:spacing w:line="440" w:lineRule="exact"/>
              <w:rPr>
                <w:rFonts w:hint="eastAsia"/>
                <w:vertAlign w:val="baseline"/>
                <w:lang w:eastAsia="zh-CN"/>
              </w:rPr>
            </w:pPr>
            <w:r>
              <w:rPr>
                <w:rFonts w:hint="eastAsia" w:ascii="仿宋" w:hAnsi="仿宋" w:eastAsia="仿宋" w:cs="仿宋"/>
                <w:color w:val="auto"/>
                <w:kern w:val="2"/>
                <w:sz w:val="28"/>
                <w:szCs w:val="28"/>
                <w:lang w:val="en-US" w:eastAsia="zh-CN" w:bidi="ar-SA"/>
              </w:rPr>
              <w:t>样品抽取时间</w:t>
            </w:r>
          </w:p>
        </w:tc>
        <w:tc>
          <w:tcPr>
            <w:tcW w:w="5604" w:type="dxa"/>
            <w:gridSpan w:val="2"/>
            <w:vAlign w:val="center"/>
          </w:tcPr>
          <w:p>
            <w:pPr>
              <w:spacing w:line="440" w:lineRule="exact"/>
              <w:rPr>
                <w:rFonts w:hint="eastAsia"/>
                <w:vertAlign w:val="baseline"/>
                <w:lang w:eastAsia="zh-CN"/>
              </w:rPr>
            </w:pPr>
            <w:r>
              <w:rPr>
                <w:rFonts w:hint="eastAsia" w:ascii="仿宋" w:hAnsi="仿宋" w:eastAsia="仿宋" w:cs="仿宋"/>
                <w:color w:val="auto"/>
                <w:kern w:val="2"/>
                <w:sz w:val="28"/>
                <w:szCs w:val="28"/>
                <w:lang w:val="en-US" w:eastAsia="zh-CN" w:bidi="ar-SA"/>
              </w:rPr>
              <w:t>具体时间以部署文件为准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8" w:type="dxa"/>
            <w:vAlign w:val="center"/>
          </w:tcPr>
          <w:p>
            <w:pPr>
              <w:spacing w:line="440" w:lineRule="exact"/>
              <w:rPr>
                <w:rFonts w:hint="eastAsia"/>
                <w:vertAlign w:val="baseline"/>
                <w:lang w:eastAsia="zh-CN"/>
              </w:rPr>
            </w:pPr>
            <w:r>
              <w:rPr>
                <w:rFonts w:hint="eastAsia" w:ascii="仿宋" w:hAnsi="仿宋" w:eastAsia="仿宋" w:cs="仿宋"/>
                <w:color w:val="auto"/>
                <w:kern w:val="2"/>
                <w:sz w:val="28"/>
                <w:szCs w:val="28"/>
                <w:lang w:val="en-US" w:eastAsia="zh-CN" w:bidi="ar-SA"/>
              </w:rPr>
              <w:t>样品检验时间</w:t>
            </w:r>
          </w:p>
        </w:tc>
        <w:tc>
          <w:tcPr>
            <w:tcW w:w="5604" w:type="dxa"/>
            <w:gridSpan w:val="2"/>
            <w:vAlign w:val="center"/>
          </w:tcPr>
          <w:p>
            <w:pPr>
              <w:spacing w:line="440" w:lineRule="exact"/>
              <w:rPr>
                <w:rFonts w:hint="eastAsia"/>
                <w:vertAlign w:val="baseline"/>
                <w:lang w:eastAsia="zh-CN"/>
              </w:rPr>
            </w:pPr>
            <w:r>
              <w:rPr>
                <w:rFonts w:hint="eastAsia" w:ascii="仿宋" w:hAnsi="仿宋" w:eastAsia="仿宋" w:cs="仿宋"/>
                <w:color w:val="auto"/>
                <w:kern w:val="2"/>
                <w:sz w:val="28"/>
                <w:szCs w:val="28"/>
                <w:lang w:val="en-US" w:eastAsia="zh-CN" w:bidi="ar-SA"/>
              </w:rPr>
              <w:t>任务部署后的1个整体抽检工作完成周期内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8" w:type="dxa"/>
            <w:vAlign w:val="center"/>
          </w:tcPr>
          <w:p>
            <w:pPr>
              <w:spacing w:line="440" w:lineRule="exact"/>
              <w:rPr>
                <w:rFonts w:hint="eastAsia"/>
                <w:vertAlign w:val="baseline"/>
                <w:lang w:eastAsia="zh-CN"/>
              </w:rPr>
            </w:pPr>
            <w:r>
              <w:rPr>
                <w:rFonts w:hint="eastAsia" w:ascii="仿宋" w:hAnsi="仿宋" w:eastAsia="仿宋" w:cs="仿宋"/>
                <w:color w:val="auto"/>
                <w:kern w:val="2"/>
                <w:sz w:val="28"/>
                <w:szCs w:val="28"/>
                <w:lang w:val="en-US" w:eastAsia="zh-CN" w:bidi="ar-SA"/>
              </w:rPr>
              <w:t>检验报告及结果通知发放</w:t>
            </w:r>
          </w:p>
        </w:tc>
        <w:tc>
          <w:tcPr>
            <w:tcW w:w="5604" w:type="dxa"/>
            <w:gridSpan w:val="2"/>
            <w:vAlign w:val="center"/>
          </w:tcPr>
          <w:p>
            <w:pPr>
              <w:spacing w:line="440" w:lineRule="exact"/>
              <w:rPr>
                <w:rFonts w:hint="eastAsia"/>
                <w:vertAlign w:val="baseline"/>
                <w:lang w:eastAsia="zh-CN"/>
              </w:rPr>
            </w:pPr>
            <w:r>
              <w:rPr>
                <w:rFonts w:hint="eastAsia" w:ascii="仿宋" w:hAnsi="仿宋" w:eastAsia="仿宋" w:cs="仿宋"/>
                <w:color w:val="auto"/>
                <w:kern w:val="2"/>
                <w:sz w:val="28"/>
                <w:szCs w:val="28"/>
                <w:lang w:val="en-US" w:eastAsia="zh-CN" w:bidi="ar-SA"/>
              </w:rPr>
              <w:t>检验工作完成5日内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8" w:type="dxa"/>
            <w:vAlign w:val="center"/>
          </w:tcPr>
          <w:p>
            <w:pPr>
              <w:spacing w:line="440" w:lineRule="exact"/>
              <w:rPr>
                <w:rFonts w:hint="eastAsia"/>
                <w:vertAlign w:val="baseline"/>
                <w:lang w:eastAsia="zh-CN"/>
              </w:rPr>
            </w:pPr>
            <w:r>
              <w:rPr>
                <w:rFonts w:hint="eastAsia" w:ascii="仿宋" w:hAnsi="仿宋" w:eastAsia="仿宋" w:cs="仿宋"/>
                <w:color w:val="auto"/>
                <w:kern w:val="2"/>
                <w:sz w:val="28"/>
                <w:szCs w:val="28"/>
                <w:lang w:val="en-US" w:eastAsia="zh-CN" w:bidi="ar-SA"/>
              </w:rPr>
              <w:t>承检单位提供资料</w:t>
            </w:r>
          </w:p>
        </w:tc>
        <w:tc>
          <w:tcPr>
            <w:tcW w:w="5604" w:type="dxa"/>
            <w:gridSpan w:val="2"/>
            <w:vAlign w:val="center"/>
          </w:tcPr>
          <w:p>
            <w:pPr>
              <w:spacing w:line="440" w:lineRule="exact"/>
              <w:rPr>
                <w:rFonts w:hint="eastAsia"/>
                <w:vertAlign w:val="baseline"/>
                <w:lang w:eastAsia="zh-CN"/>
              </w:rPr>
            </w:pPr>
            <w:r>
              <w:rPr>
                <w:rFonts w:hint="eastAsia" w:ascii="仿宋" w:hAnsi="仿宋" w:eastAsia="仿宋" w:cs="仿宋"/>
                <w:color w:val="auto"/>
                <w:kern w:val="2"/>
                <w:sz w:val="28"/>
                <w:szCs w:val="28"/>
                <w:lang w:val="en-US" w:eastAsia="zh-CN" w:bidi="ar-SA"/>
              </w:rPr>
              <w:t>检验工作完成10日内</w:t>
            </w:r>
          </w:p>
        </w:tc>
      </w:tr>
    </w:tbl>
    <w:p>
      <w:pPr>
        <w:numPr>
          <w:ilvl w:val="0"/>
          <w:numId w:val="0"/>
        </w:numPr>
        <w:rPr>
          <w:rFonts w:hint="eastAsia"/>
          <w:lang w:eastAsia="zh-CN"/>
        </w:rPr>
      </w:pPr>
    </w:p>
    <w:p>
      <w:pPr>
        <w:pStyle w:val="19"/>
        <w:numPr>
          <w:ilvl w:val="0"/>
          <w:numId w:val="0"/>
        </w:numPr>
        <w:jc w:val="left"/>
        <w:rPr>
          <w:rFonts w:hint="eastAsia" w:ascii="黑体" w:hAnsi="黑体" w:eastAsia="黑体"/>
          <w:lang w:eastAsia="zh-CN"/>
        </w:rPr>
      </w:pPr>
      <w:r>
        <w:rPr>
          <w:rFonts w:hint="eastAsia" w:ascii="黑体" w:hAnsi="黑体" w:eastAsia="黑体"/>
          <w:lang w:eastAsia="zh-CN"/>
        </w:rPr>
        <w:t>六、工作分工</w:t>
      </w:r>
    </w:p>
    <w:p>
      <w:pPr>
        <w:pStyle w:val="37"/>
        <w:numPr>
          <w:ilvl w:val="0"/>
          <w:numId w:val="0"/>
        </w:numPr>
        <w:ind w:leftChars="0"/>
        <w:rPr>
          <w:rFonts w:hint="eastAsia" w:ascii="仿宋" w:hAnsi="仿宋" w:eastAsia="仿宋" w:cs="仿宋"/>
          <w:color w:val="000000"/>
          <w:kern w:val="2"/>
          <w:sz w:val="32"/>
          <w:szCs w:val="32"/>
          <w:lang w:val="en-US" w:eastAsia="zh-CN" w:bidi="ar-SA"/>
        </w:rPr>
      </w:pPr>
      <w:r>
        <w:rPr>
          <w:rFonts w:hint="eastAsia" w:ascii="宋体" w:hAnsi="宋体" w:eastAsia="宋体" w:cs="宋体"/>
          <w:b/>
          <w:bCs/>
          <w:color w:val="auto"/>
          <w:sz w:val="32"/>
          <w:szCs w:val="32"/>
          <w:lang w:val="en-US" w:eastAsia="zh-CN"/>
        </w:rPr>
        <w:t xml:space="preserve"> </w:t>
      </w:r>
      <w:r>
        <w:rPr>
          <w:rFonts w:hint="eastAsia" w:ascii="仿宋" w:hAnsi="仿宋" w:eastAsia="仿宋" w:cs="仿宋"/>
          <w:b/>
          <w:bCs/>
          <w:color w:val="auto"/>
          <w:sz w:val="32"/>
          <w:szCs w:val="32"/>
          <w:lang w:val="en-US" w:eastAsia="zh-CN"/>
        </w:rPr>
        <w:t xml:space="preserve"> </w:t>
      </w:r>
      <w:r>
        <w:rPr>
          <w:rFonts w:hint="eastAsia" w:ascii="仿宋" w:hAnsi="仿宋" w:eastAsia="仿宋" w:cs="仿宋"/>
          <w:color w:val="000000"/>
          <w:kern w:val="2"/>
          <w:sz w:val="32"/>
          <w:szCs w:val="32"/>
          <w:lang w:val="en-US" w:eastAsia="zh-CN" w:bidi="ar-SA"/>
        </w:rPr>
        <w:t>组织单位：扎兰屯市市场监督管理局</w:t>
      </w:r>
    </w:p>
    <w:p>
      <w:pPr>
        <w:pStyle w:val="37"/>
        <w:numPr>
          <w:ilvl w:val="0"/>
          <w:numId w:val="0"/>
        </w:numPr>
        <w:ind w:leftChars="0"/>
        <w:rPr>
          <w:rFonts w:hint="eastAsia" w:ascii="黑体" w:hAnsi="黑体" w:eastAsia="黑体" w:cs="黑体"/>
          <w:b/>
          <w:bCs/>
          <w:color w:val="auto"/>
          <w:sz w:val="32"/>
          <w:szCs w:val="32"/>
          <w:lang w:eastAsia="zh-CN"/>
        </w:rPr>
      </w:pPr>
      <w:r>
        <w:rPr>
          <w:rFonts w:hint="eastAsia" w:ascii="仿宋" w:hAnsi="仿宋" w:eastAsia="仿宋" w:cs="仿宋"/>
          <w:color w:val="000000"/>
          <w:kern w:val="2"/>
          <w:sz w:val="32"/>
          <w:szCs w:val="32"/>
          <w:lang w:val="en-US" w:eastAsia="zh-CN" w:bidi="ar-SA"/>
        </w:rPr>
        <w:t xml:space="preserve">  承检单位：山东精准产品质量检测有限公司</w:t>
      </w:r>
    </w:p>
    <w:p>
      <w:pPr>
        <w:topLinePunct/>
        <w:adjustRightInd w:val="0"/>
        <w:rPr>
          <w:rFonts w:hint="eastAsia" w:ascii="仿宋" w:hAnsi="仿宋" w:eastAsia="仿宋"/>
          <w:color w:val="000000"/>
          <w:sz w:val="32"/>
          <w:szCs w:val="32"/>
          <w:lang w:val="en-US" w:eastAsia="zh-CN"/>
        </w:rPr>
      </w:pPr>
      <w:r>
        <w:rPr>
          <w:rFonts w:hint="eastAsia" w:ascii="仿宋" w:hAnsi="仿宋" w:eastAsia="仿宋"/>
          <w:color w:val="000000"/>
          <w:sz w:val="32"/>
          <w:szCs w:val="32"/>
          <w:lang w:val="en-US" w:eastAsia="zh-CN"/>
        </w:rPr>
        <w:t>1、抽样</w:t>
      </w:r>
    </w:p>
    <w:p>
      <w:pPr>
        <w:topLinePunct/>
        <w:adjustRightInd w:val="0"/>
        <w:ind w:firstLine="640" w:firstLineChars="200"/>
        <w:rPr>
          <w:rFonts w:hint="eastAsia" w:ascii="仿宋" w:hAnsi="仿宋" w:eastAsia="仿宋"/>
          <w:color w:val="000000"/>
          <w:sz w:val="32"/>
          <w:szCs w:val="32"/>
          <w:lang w:val="en-US" w:eastAsia="zh-CN"/>
        </w:rPr>
      </w:pPr>
      <w:r>
        <w:rPr>
          <w:rFonts w:hint="eastAsia" w:ascii="仿宋" w:hAnsi="仿宋" w:eastAsia="仿宋"/>
          <w:color w:val="000000"/>
          <w:sz w:val="32"/>
          <w:szCs w:val="32"/>
          <w:lang w:val="en-US" w:eastAsia="zh-CN"/>
        </w:rPr>
        <w:t>市场监督管理部门委托抽样机构抽样，并按照有关规定随机抽取被抽样生产者、销售者，随机选派抽样人员。</w:t>
      </w:r>
    </w:p>
    <w:p>
      <w:pPr>
        <w:pStyle w:val="28"/>
        <w:rPr>
          <w:rFonts w:hint="eastAsia"/>
          <w:lang w:val="en-US" w:eastAsia="zh-CN"/>
        </w:rPr>
      </w:pPr>
      <w:r>
        <w:rPr>
          <w:rFonts w:hint="eastAsia" w:ascii="仿宋" w:hAnsi="仿宋" w:eastAsia="仿宋"/>
          <w:color w:val="000000"/>
          <w:sz w:val="32"/>
          <w:szCs w:val="32"/>
          <w:lang w:val="en-US" w:eastAsia="zh-CN"/>
        </w:rPr>
        <w:t>实行抽检分离制度。除现场检验外，抽样人员不得承担其抽样产品的检验工作。</w:t>
      </w:r>
    </w:p>
    <w:p>
      <w:pPr>
        <w:topLinePunct/>
        <w:adjustRightInd w:val="0"/>
        <w:ind w:firstLine="640" w:firstLineChars="200"/>
        <w:rPr>
          <w:rFonts w:hint="eastAsia" w:ascii="仿宋" w:hAnsi="仿宋" w:eastAsia="仿宋"/>
          <w:color w:val="000000"/>
          <w:sz w:val="32"/>
          <w:szCs w:val="32"/>
          <w:lang w:val="en-US" w:eastAsia="zh-CN"/>
        </w:rPr>
      </w:pPr>
      <w:r>
        <w:rPr>
          <w:rFonts w:hint="eastAsia" w:ascii="仿宋" w:hAnsi="仿宋" w:eastAsia="仿宋"/>
          <w:color w:val="000000"/>
          <w:sz w:val="32"/>
          <w:szCs w:val="32"/>
          <w:lang w:val="en-US" w:eastAsia="zh-CN"/>
        </w:rPr>
        <w:t>抽样人员应当熟悉相关法律、行政法规、部门规章以及标准等规定。</w:t>
      </w:r>
    </w:p>
    <w:p>
      <w:pPr>
        <w:topLinePunct/>
        <w:adjustRightInd w:val="0"/>
        <w:ind w:firstLine="640" w:firstLineChars="200"/>
        <w:rPr>
          <w:rFonts w:hint="eastAsia" w:ascii="仿宋" w:hAnsi="仿宋" w:eastAsia="仿宋"/>
          <w:color w:val="000000"/>
          <w:sz w:val="32"/>
          <w:szCs w:val="32"/>
          <w:lang w:val="en-US" w:eastAsia="zh-CN"/>
        </w:rPr>
      </w:pPr>
      <w:r>
        <w:rPr>
          <w:rFonts w:hint="eastAsia" w:ascii="仿宋" w:hAnsi="仿宋" w:eastAsia="仿宋"/>
          <w:color w:val="000000"/>
          <w:sz w:val="32"/>
          <w:szCs w:val="32"/>
          <w:lang w:val="en-US" w:eastAsia="zh-CN"/>
        </w:rPr>
        <w:t>抽样人员不得少于两人，并向被抽样生产者、销售者出示组织监督抽查的市场监督管理部门出具的监督抽查通知书、抽样人员身份证明。抽样机构执行抽样任务的，还应当出示组织监督抽查的市场监督管理部门出具的授权委托书复印件。</w:t>
      </w:r>
    </w:p>
    <w:p>
      <w:pPr>
        <w:topLinePunct/>
        <w:adjustRightInd w:val="0"/>
        <w:ind w:firstLine="640" w:firstLineChars="200"/>
        <w:rPr>
          <w:rFonts w:hint="eastAsia" w:ascii="仿宋" w:hAnsi="仿宋" w:eastAsia="仿宋"/>
          <w:color w:val="000000"/>
          <w:sz w:val="32"/>
          <w:szCs w:val="32"/>
          <w:lang w:val="en-US" w:eastAsia="zh-CN"/>
        </w:rPr>
      </w:pPr>
      <w:r>
        <w:rPr>
          <w:rFonts w:hint="eastAsia" w:ascii="仿宋" w:hAnsi="仿宋" w:eastAsia="仿宋"/>
          <w:color w:val="000000"/>
          <w:sz w:val="32"/>
          <w:szCs w:val="32"/>
          <w:lang w:val="en-US" w:eastAsia="zh-CN"/>
        </w:rPr>
        <w:t>抽样人员应当告知被抽样生产者、销售者抽查产品范围、抽样方法等。</w:t>
      </w:r>
    </w:p>
    <w:p>
      <w:pPr>
        <w:topLinePunct/>
        <w:adjustRightInd w:val="0"/>
        <w:ind w:firstLine="640" w:firstLineChars="200"/>
        <w:rPr>
          <w:rFonts w:hint="eastAsia" w:ascii="仿宋" w:hAnsi="仿宋" w:eastAsia="仿宋"/>
          <w:color w:val="000000"/>
          <w:sz w:val="32"/>
          <w:szCs w:val="32"/>
          <w:lang w:val="en-US" w:eastAsia="zh-CN"/>
        </w:rPr>
      </w:pPr>
      <w:r>
        <w:rPr>
          <w:rFonts w:hint="eastAsia" w:ascii="仿宋" w:hAnsi="仿宋" w:eastAsia="仿宋"/>
          <w:color w:val="000000"/>
          <w:sz w:val="32"/>
          <w:szCs w:val="32"/>
          <w:lang w:val="en-US" w:eastAsia="zh-CN"/>
        </w:rPr>
        <w:t>样品应当由抽样人员在被抽样生产者、销售者的待销产品中随机抽取，不得由被抽样生产者、销售者自行抽样。</w:t>
      </w:r>
    </w:p>
    <w:p>
      <w:pPr>
        <w:topLinePunct/>
        <w:adjustRightInd w:val="0"/>
        <w:ind w:firstLine="640" w:firstLineChars="200"/>
        <w:rPr>
          <w:rFonts w:hint="eastAsia" w:ascii="仿宋" w:hAnsi="仿宋" w:eastAsia="仿宋"/>
          <w:color w:val="000000"/>
          <w:sz w:val="32"/>
          <w:szCs w:val="32"/>
          <w:lang w:val="en-US" w:eastAsia="zh-CN"/>
        </w:rPr>
      </w:pPr>
      <w:r>
        <w:rPr>
          <w:rFonts w:hint="eastAsia" w:ascii="仿宋" w:hAnsi="仿宋" w:eastAsia="仿宋"/>
          <w:color w:val="000000"/>
          <w:sz w:val="32"/>
          <w:szCs w:val="32"/>
          <w:lang w:val="en-US" w:eastAsia="zh-CN"/>
        </w:rPr>
        <w:t>抽样人员发现被抽样生产者、销售者涉嫌存在无证无照等无需检验即可判定违法的情形的，应当终止抽样，立即报告组织监督抽查的市场监督管理部门，并同时报告涉嫌违法的被抽样生产者、销售者所在地市级市场监督管理部门。</w:t>
      </w:r>
    </w:p>
    <w:p>
      <w:pPr>
        <w:topLinePunct/>
        <w:adjustRightInd w:val="0"/>
        <w:ind w:firstLine="640" w:firstLineChars="200"/>
        <w:rPr>
          <w:rFonts w:hint="eastAsia" w:ascii="仿宋" w:hAnsi="仿宋" w:eastAsia="仿宋"/>
          <w:color w:val="000000"/>
          <w:sz w:val="32"/>
          <w:szCs w:val="32"/>
          <w:lang w:val="en-US" w:eastAsia="zh-CN"/>
        </w:rPr>
      </w:pPr>
      <w:r>
        <w:rPr>
          <w:rFonts w:hint="eastAsia" w:ascii="仿宋" w:hAnsi="仿宋" w:eastAsia="仿宋"/>
          <w:color w:val="000000"/>
          <w:sz w:val="32"/>
          <w:szCs w:val="32"/>
          <w:lang w:val="en-US" w:eastAsia="zh-CN"/>
        </w:rPr>
        <w:t>抽样人员应当使用规定的抽样文书记录抽样信息，并对抽样场所、贮存环境、被抽样产品的标识、库存数量、抽样过程等通过拍照或者录像的方式留存证据。</w:t>
      </w:r>
    </w:p>
    <w:p>
      <w:pPr>
        <w:topLinePunct/>
        <w:adjustRightInd w:val="0"/>
        <w:ind w:firstLine="640" w:firstLineChars="200"/>
        <w:rPr>
          <w:rFonts w:hint="eastAsia" w:ascii="仿宋" w:hAnsi="仿宋" w:eastAsia="仿宋"/>
          <w:color w:val="000000"/>
          <w:sz w:val="32"/>
          <w:szCs w:val="32"/>
          <w:lang w:val="en-US" w:eastAsia="zh-CN"/>
        </w:rPr>
      </w:pPr>
      <w:r>
        <w:rPr>
          <w:rFonts w:hint="eastAsia" w:ascii="仿宋" w:hAnsi="仿宋" w:eastAsia="仿宋"/>
          <w:color w:val="000000"/>
          <w:sz w:val="32"/>
          <w:szCs w:val="32"/>
          <w:lang w:val="en-US" w:eastAsia="zh-CN"/>
        </w:rPr>
        <w:t>抽样文书应当经抽样人员和被抽样生产者、销售者签字。被抽样生产者、销售者拒绝签字的，抽样人员应当在抽样文书上注明情况，必要时可以邀请有关人员作为见证人。</w:t>
      </w:r>
    </w:p>
    <w:p>
      <w:pPr>
        <w:topLinePunct/>
        <w:adjustRightInd w:val="0"/>
        <w:ind w:firstLine="640" w:firstLineChars="200"/>
        <w:rPr>
          <w:rFonts w:hint="eastAsia" w:ascii="仿宋" w:hAnsi="仿宋" w:eastAsia="仿宋"/>
          <w:color w:val="000000"/>
          <w:sz w:val="32"/>
          <w:szCs w:val="32"/>
          <w:lang w:val="en-US" w:eastAsia="zh-CN"/>
        </w:rPr>
      </w:pPr>
      <w:r>
        <w:rPr>
          <w:rFonts w:hint="eastAsia" w:ascii="仿宋" w:hAnsi="仿宋" w:eastAsia="仿宋"/>
          <w:color w:val="000000"/>
          <w:sz w:val="32"/>
          <w:szCs w:val="32"/>
          <w:lang w:val="en-US" w:eastAsia="zh-CN"/>
        </w:rPr>
        <w:t>抽样文书确需更正或者补充的，应当由被抽样生产者、销售者在更正或者补充处以签名、盖章等方式予以确认。</w:t>
      </w:r>
    </w:p>
    <w:p>
      <w:pPr>
        <w:topLinePunct/>
        <w:adjustRightInd w:val="0"/>
        <w:ind w:firstLine="640" w:firstLineChars="200"/>
        <w:rPr>
          <w:rFonts w:hint="eastAsia" w:ascii="仿宋" w:hAnsi="仿宋" w:eastAsia="仿宋"/>
          <w:color w:val="000000"/>
          <w:sz w:val="32"/>
          <w:szCs w:val="32"/>
          <w:lang w:val="en-US" w:eastAsia="zh-CN"/>
        </w:rPr>
      </w:pPr>
      <w:r>
        <w:rPr>
          <w:rFonts w:hint="eastAsia" w:ascii="仿宋" w:hAnsi="仿宋" w:eastAsia="仿宋"/>
          <w:color w:val="000000"/>
          <w:sz w:val="32"/>
          <w:szCs w:val="32"/>
          <w:lang w:val="en-US" w:eastAsia="zh-CN"/>
        </w:rPr>
        <w:t>因被抽样生产者、销售者转产、停业等原因致使无法抽样的，抽样人员应当如实记录，报送组织监督抽查的市场监督管理部门。</w:t>
      </w:r>
    </w:p>
    <w:p>
      <w:pPr>
        <w:topLinePunct/>
        <w:adjustRightInd w:val="0"/>
        <w:ind w:firstLine="640" w:firstLineChars="200"/>
        <w:rPr>
          <w:rFonts w:hint="eastAsia" w:ascii="仿宋" w:hAnsi="仿宋" w:eastAsia="仿宋"/>
          <w:color w:val="000000"/>
          <w:sz w:val="32"/>
          <w:szCs w:val="32"/>
          <w:lang w:val="en-US" w:eastAsia="zh-CN"/>
        </w:rPr>
      </w:pPr>
      <w:r>
        <w:rPr>
          <w:rFonts w:hint="eastAsia" w:ascii="仿宋" w:hAnsi="仿宋" w:eastAsia="仿宋"/>
          <w:color w:val="000000"/>
          <w:sz w:val="32"/>
          <w:szCs w:val="32"/>
          <w:lang w:val="en-US" w:eastAsia="zh-CN"/>
        </w:rPr>
        <w:t>被抽样生产者、销售者以明显不合理的样品价格等方式阻碍、拒绝或者不配合抽样的，抽样人员应当如实记录，立即报告组织监督抽查的市场监督管理部门，并同时报告被抽样生产者、销售者所在地市级市场监督管理部门。</w:t>
      </w:r>
    </w:p>
    <w:p>
      <w:pPr>
        <w:topLinePunct/>
        <w:adjustRightInd w:val="0"/>
        <w:ind w:firstLine="640" w:firstLineChars="200"/>
        <w:rPr>
          <w:rFonts w:hint="eastAsia" w:ascii="仿宋" w:hAnsi="仿宋" w:eastAsia="仿宋"/>
          <w:color w:val="000000"/>
          <w:sz w:val="32"/>
          <w:szCs w:val="32"/>
          <w:lang w:val="en-US" w:eastAsia="zh-CN"/>
        </w:rPr>
      </w:pPr>
      <w:r>
        <w:rPr>
          <w:rFonts w:hint="eastAsia" w:ascii="仿宋" w:hAnsi="仿宋" w:eastAsia="仿宋"/>
          <w:color w:val="000000"/>
          <w:sz w:val="32"/>
          <w:szCs w:val="32"/>
          <w:lang w:val="en-US" w:eastAsia="zh-CN"/>
        </w:rPr>
        <w:t>样品分为检验样品和备用样品。除不以破坏性试验方式进行检验，并且不会对样品质量造成实质性影响的外，抽样人员应当购买检验样品。购买检验样品的价格以生产、销售产品的标价为准；没有标价的，以同类产品的市场价格为准。</w:t>
      </w:r>
    </w:p>
    <w:p>
      <w:pPr>
        <w:topLinePunct/>
        <w:adjustRightInd w:val="0"/>
        <w:ind w:firstLine="640" w:firstLineChars="200"/>
        <w:rPr>
          <w:rFonts w:hint="eastAsia" w:ascii="仿宋" w:hAnsi="仿宋" w:eastAsia="仿宋"/>
          <w:color w:val="000000"/>
          <w:sz w:val="32"/>
          <w:szCs w:val="32"/>
          <w:lang w:val="en-US" w:eastAsia="zh-CN"/>
        </w:rPr>
      </w:pPr>
      <w:r>
        <w:rPr>
          <w:rFonts w:hint="eastAsia" w:ascii="仿宋" w:hAnsi="仿宋" w:eastAsia="仿宋"/>
          <w:color w:val="000000"/>
          <w:sz w:val="32"/>
          <w:szCs w:val="32"/>
          <w:lang w:val="en-US" w:eastAsia="zh-CN"/>
        </w:rPr>
        <w:t>备用样品由被抽样生产者、销售者先行无偿提供。法律、行政法规、部门规章对样品获取方式另有规定的，依照其规定。</w:t>
      </w:r>
    </w:p>
    <w:p>
      <w:pPr>
        <w:topLinePunct/>
        <w:adjustRightInd w:val="0"/>
        <w:ind w:firstLine="640" w:firstLineChars="200"/>
        <w:rPr>
          <w:rFonts w:hint="eastAsia" w:ascii="仿宋" w:hAnsi="仿宋" w:eastAsia="仿宋"/>
          <w:color w:val="000000"/>
          <w:sz w:val="32"/>
          <w:szCs w:val="32"/>
          <w:lang w:val="en-US" w:eastAsia="zh-CN"/>
        </w:rPr>
      </w:pPr>
      <w:r>
        <w:rPr>
          <w:rFonts w:hint="eastAsia" w:ascii="仿宋" w:hAnsi="仿宋" w:eastAsia="仿宋"/>
          <w:color w:val="000000"/>
          <w:sz w:val="32"/>
          <w:szCs w:val="32"/>
          <w:lang w:val="en-US" w:eastAsia="zh-CN"/>
        </w:rPr>
        <w:t>抽样人员应当采取有效的防拆封措施，对检验样品和备用样品分别封样，并由抽样人员和被抽样生产者、销售者签字确认。</w:t>
      </w:r>
    </w:p>
    <w:p>
      <w:pPr>
        <w:topLinePunct/>
        <w:adjustRightInd w:val="0"/>
        <w:ind w:firstLine="640" w:firstLineChars="200"/>
        <w:rPr>
          <w:rFonts w:hint="eastAsia" w:ascii="仿宋" w:hAnsi="仿宋" w:eastAsia="仿宋"/>
          <w:color w:val="000000"/>
          <w:sz w:val="32"/>
          <w:szCs w:val="32"/>
          <w:lang w:val="en-US" w:eastAsia="zh-CN"/>
        </w:rPr>
      </w:pPr>
      <w:r>
        <w:rPr>
          <w:rFonts w:hint="eastAsia" w:ascii="仿宋" w:hAnsi="仿宋" w:eastAsia="仿宋"/>
          <w:color w:val="000000"/>
          <w:sz w:val="32"/>
          <w:szCs w:val="32"/>
          <w:lang w:val="en-US" w:eastAsia="zh-CN"/>
        </w:rPr>
        <w:t>样品应当由抽样人员携带或者寄递至检验机构进行检验。对于易碎品、危险化学品等对运输、贮存过程有特殊要求的样品，应当采取有效措施，保证样品的运输、贮存过程符合国家有关规定，不发生影响检验结论的变化。</w:t>
      </w:r>
    </w:p>
    <w:p>
      <w:pPr>
        <w:topLinePunct/>
        <w:adjustRightInd w:val="0"/>
        <w:ind w:firstLine="640" w:firstLineChars="200"/>
        <w:rPr>
          <w:rFonts w:hint="eastAsia" w:ascii="仿宋" w:hAnsi="仿宋" w:eastAsia="仿宋"/>
          <w:color w:val="000000"/>
          <w:sz w:val="32"/>
          <w:szCs w:val="32"/>
          <w:lang w:val="en-US" w:eastAsia="zh-CN"/>
        </w:rPr>
      </w:pPr>
      <w:r>
        <w:rPr>
          <w:rFonts w:hint="eastAsia" w:ascii="仿宋" w:hAnsi="仿宋" w:eastAsia="仿宋"/>
          <w:color w:val="000000"/>
          <w:sz w:val="32"/>
          <w:szCs w:val="32"/>
          <w:lang w:val="en-US" w:eastAsia="zh-CN"/>
        </w:rPr>
        <w:t>样品需要先行存放在被抽样生产者、销售者处的，应当予以封存，并加施封存标识。被抽样生产者、销售者应当妥善保管封存的样品，不得隐匿、转移、变卖、损毁。</w:t>
      </w:r>
    </w:p>
    <w:p>
      <w:pPr>
        <w:topLinePunct/>
        <w:adjustRightInd w:val="0"/>
        <w:ind w:firstLine="640" w:firstLineChars="200"/>
        <w:rPr>
          <w:rFonts w:hint="eastAsia" w:ascii="仿宋" w:hAnsi="仿宋" w:eastAsia="仿宋"/>
          <w:color w:val="000000"/>
          <w:sz w:val="32"/>
          <w:szCs w:val="32"/>
          <w:lang w:val="en-US" w:eastAsia="zh-CN"/>
        </w:rPr>
      </w:pPr>
      <w:r>
        <w:rPr>
          <w:rFonts w:hint="eastAsia" w:ascii="仿宋" w:hAnsi="仿宋" w:eastAsia="仿宋"/>
          <w:color w:val="000000"/>
          <w:sz w:val="32"/>
          <w:szCs w:val="32"/>
          <w:lang w:val="en-US" w:eastAsia="zh-CN"/>
        </w:rPr>
        <w:t>2、检验</w:t>
      </w:r>
    </w:p>
    <w:p>
      <w:pPr>
        <w:topLinePunct/>
        <w:adjustRightInd w:val="0"/>
        <w:ind w:firstLine="640" w:firstLineChars="200"/>
        <w:rPr>
          <w:rFonts w:hint="eastAsia" w:ascii="仿宋" w:hAnsi="仿宋" w:eastAsia="仿宋"/>
          <w:color w:val="000000"/>
          <w:sz w:val="32"/>
          <w:szCs w:val="32"/>
          <w:lang w:val="en-US" w:eastAsia="zh-CN"/>
        </w:rPr>
      </w:pPr>
      <w:r>
        <w:rPr>
          <w:rFonts w:hint="eastAsia" w:ascii="仿宋" w:hAnsi="仿宋" w:eastAsia="仿宋"/>
          <w:color w:val="000000"/>
          <w:sz w:val="32"/>
          <w:szCs w:val="32"/>
          <w:lang w:val="en-US" w:eastAsia="zh-CN"/>
        </w:rPr>
        <w:t>检验人员收到样品后，应当通过拍照或者录像的方式检查记录样品的外观、状态、封条有无破损以及其他可能对检验结论产生影响的情形，并核对样品与抽样文书的记录是否相符。</w:t>
      </w:r>
    </w:p>
    <w:p>
      <w:pPr>
        <w:topLinePunct/>
        <w:adjustRightInd w:val="0"/>
        <w:ind w:firstLine="640" w:firstLineChars="200"/>
        <w:rPr>
          <w:rFonts w:hint="eastAsia" w:ascii="仿宋" w:hAnsi="仿宋" w:eastAsia="仿宋"/>
          <w:color w:val="000000"/>
          <w:sz w:val="32"/>
          <w:szCs w:val="32"/>
          <w:lang w:val="en-US" w:eastAsia="zh-CN"/>
        </w:rPr>
      </w:pPr>
      <w:r>
        <w:rPr>
          <w:rFonts w:hint="eastAsia" w:ascii="仿宋" w:hAnsi="仿宋" w:eastAsia="仿宋"/>
          <w:color w:val="000000"/>
          <w:sz w:val="32"/>
          <w:szCs w:val="32"/>
          <w:lang w:val="en-US" w:eastAsia="zh-CN"/>
        </w:rPr>
        <w:t>对于抽样不规范的样品，检验人员应当拒绝接收并书面说明理由，同时向组织监督抽查的市场监督管理部门报告。</w:t>
      </w:r>
    </w:p>
    <w:p>
      <w:pPr>
        <w:topLinePunct/>
        <w:adjustRightInd w:val="0"/>
        <w:ind w:firstLine="640" w:firstLineChars="200"/>
        <w:rPr>
          <w:rFonts w:hint="eastAsia" w:ascii="仿宋" w:hAnsi="仿宋" w:eastAsia="仿宋"/>
          <w:color w:val="000000"/>
          <w:sz w:val="32"/>
          <w:szCs w:val="32"/>
          <w:lang w:val="en-US" w:eastAsia="zh-CN"/>
        </w:rPr>
      </w:pPr>
      <w:r>
        <w:rPr>
          <w:rFonts w:hint="eastAsia" w:ascii="仿宋" w:hAnsi="仿宋" w:eastAsia="仿宋"/>
          <w:color w:val="000000"/>
          <w:sz w:val="32"/>
          <w:szCs w:val="32"/>
          <w:lang w:val="en-US" w:eastAsia="zh-CN"/>
        </w:rPr>
        <w:t>被抽样产品实行生产许可、强制性产品认证等管理的，检验人员应当在检验前核实样品的生产者是否符合相应要求。</w:t>
      </w:r>
    </w:p>
    <w:p>
      <w:pPr>
        <w:topLinePunct/>
        <w:adjustRightInd w:val="0"/>
        <w:ind w:firstLine="640" w:firstLineChars="200"/>
        <w:rPr>
          <w:rFonts w:hint="eastAsia" w:ascii="仿宋" w:hAnsi="仿宋" w:eastAsia="仿宋"/>
          <w:color w:val="000000"/>
          <w:sz w:val="32"/>
          <w:szCs w:val="32"/>
          <w:lang w:val="en-US" w:eastAsia="zh-CN"/>
        </w:rPr>
      </w:pPr>
      <w:r>
        <w:rPr>
          <w:rFonts w:hint="eastAsia" w:ascii="仿宋" w:hAnsi="仿宋" w:eastAsia="仿宋"/>
          <w:color w:val="000000"/>
          <w:sz w:val="32"/>
          <w:szCs w:val="32"/>
          <w:lang w:val="en-US" w:eastAsia="zh-CN"/>
        </w:rPr>
        <w:t>检验人员发现样品的生产者涉嫌存在无证无照等无需检验即可判定违法的情形的，应当终止检验，立即报告组织监督抽查的市场监督管理部门，并同时报告涉嫌违法的样品的生产者所在地市级市场监督管理部门。</w:t>
      </w:r>
    </w:p>
    <w:p>
      <w:pPr>
        <w:topLinePunct/>
        <w:adjustRightInd w:val="0"/>
        <w:ind w:firstLine="640" w:firstLineChars="200"/>
        <w:rPr>
          <w:rFonts w:hint="eastAsia" w:ascii="仿宋" w:hAnsi="仿宋" w:eastAsia="仿宋"/>
          <w:color w:val="000000"/>
          <w:sz w:val="32"/>
          <w:szCs w:val="32"/>
          <w:lang w:val="en-US" w:eastAsia="zh-CN"/>
        </w:rPr>
      </w:pPr>
      <w:r>
        <w:rPr>
          <w:rFonts w:hint="eastAsia" w:ascii="仿宋" w:hAnsi="仿宋" w:eastAsia="仿宋"/>
          <w:color w:val="000000"/>
          <w:sz w:val="32"/>
          <w:szCs w:val="32"/>
          <w:lang w:val="en-US" w:eastAsia="zh-CN"/>
        </w:rPr>
        <w:t>检验人员应当按照监督抽查实施规范所规定的检验项目、检验方法、判定规则等进行检验。</w:t>
      </w:r>
    </w:p>
    <w:p>
      <w:pPr>
        <w:topLinePunct/>
        <w:adjustRightInd w:val="0"/>
        <w:ind w:firstLine="640" w:firstLineChars="200"/>
        <w:rPr>
          <w:rFonts w:hint="eastAsia" w:ascii="仿宋" w:hAnsi="仿宋" w:eastAsia="仿宋"/>
          <w:color w:val="000000"/>
          <w:sz w:val="32"/>
          <w:szCs w:val="32"/>
          <w:lang w:val="en-US" w:eastAsia="zh-CN"/>
        </w:rPr>
      </w:pPr>
      <w:r>
        <w:rPr>
          <w:rFonts w:hint="eastAsia" w:ascii="仿宋" w:hAnsi="仿宋" w:eastAsia="仿宋"/>
          <w:color w:val="000000"/>
          <w:sz w:val="32"/>
          <w:szCs w:val="32"/>
          <w:lang w:val="en-US" w:eastAsia="zh-CN"/>
        </w:rPr>
        <w:t>检验中发现因样品失效或者其他原因致使检验无法进行的，检验人员应当如实记录，并提供相关证明材料，报送组织监督抽查的市场监督管理部门。</w:t>
      </w:r>
    </w:p>
    <w:p>
      <w:pPr>
        <w:topLinePunct/>
        <w:adjustRightInd w:val="0"/>
        <w:ind w:firstLine="640" w:firstLineChars="200"/>
        <w:rPr>
          <w:rFonts w:hint="eastAsia" w:ascii="仿宋" w:hAnsi="仿宋" w:eastAsia="仿宋"/>
          <w:color w:val="000000"/>
          <w:sz w:val="32"/>
          <w:szCs w:val="32"/>
          <w:lang w:val="en-US" w:eastAsia="zh-CN"/>
        </w:rPr>
      </w:pPr>
      <w:r>
        <w:rPr>
          <w:rFonts w:hint="eastAsia" w:ascii="仿宋" w:hAnsi="仿宋" w:eastAsia="仿宋"/>
          <w:color w:val="000000"/>
          <w:sz w:val="32"/>
          <w:szCs w:val="32"/>
          <w:lang w:val="en-US" w:eastAsia="zh-CN"/>
        </w:rPr>
        <w:t>检验机构出具检验报告，应当内容真实齐全、数据准确、结论明确，并按照有关规定签字、盖章。</w:t>
      </w:r>
    </w:p>
    <w:p>
      <w:pPr>
        <w:topLinePunct/>
        <w:adjustRightInd w:val="0"/>
        <w:ind w:firstLine="640" w:firstLineChars="200"/>
        <w:rPr>
          <w:rFonts w:hint="eastAsia" w:ascii="仿宋" w:hAnsi="仿宋" w:eastAsia="仿宋"/>
          <w:color w:val="000000"/>
          <w:sz w:val="32"/>
          <w:szCs w:val="32"/>
          <w:lang w:val="en-US" w:eastAsia="zh-CN"/>
        </w:rPr>
      </w:pPr>
      <w:r>
        <w:rPr>
          <w:rFonts w:hint="eastAsia" w:ascii="仿宋" w:hAnsi="仿宋" w:eastAsia="仿宋"/>
          <w:color w:val="000000"/>
          <w:sz w:val="32"/>
          <w:szCs w:val="32"/>
          <w:lang w:val="en-US" w:eastAsia="zh-CN"/>
        </w:rPr>
        <w:t>检验机构和检验人员应当对其出具的检验报告负责。</w:t>
      </w:r>
    </w:p>
    <w:p>
      <w:pPr>
        <w:topLinePunct/>
        <w:adjustRightInd w:val="0"/>
        <w:ind w:firstLine="640" w:firstLineChars="200"/>
        <w:rPr>
          <w:rFonts w:hint="eastAsia" w:ascii="仿宋" w:hAnsi="仿宋" w:eastAsia="仿宋"/>
          <w:color w:val="000000"/>
          <w:sz w:val="32"/>
          <w:szCs w:val="32"/>
          <w:lang w:val="en-US" w:eastAsia="zh-CN"/>
        </w:rPr>
      </w:pPr>
      <w:r>
        <w:rPr>
          <w:rFonts w:hint="eastAsia" w:ascii="仿宋" w:hAnsi="仿宋" w:eastAsia="仿宋"/>
          <w:color w:val="000000"/>
          <w:sz w:val="32"/>
          <w:szCs w:val="32"/>
          <w:lang w:val="en-US" w:eastAsia="zh-CN"/>
        </w:rPr>
        <w:t>检验机构应当在规定时间内将检验报告及有关材料报送组织监督抽查的市场监督管理部门。</w:t>
      </w:r>
    </w:p>
    <w:p>
      <w:pPr>
        <w:topLinePunct/>
        <w:adjustRightInd w:val="0"/>
        <w:ind w:firstLine="640" w:firstLineChars="200"/>
        <w:rPr>
          <w:rFonts w:hint="eastAsia" w:ascii="仿宋" w:hAnsi="仿宋" w:eastAsia="仿宋"/>
          <w:color w:val="000000"/>
          <w:sz w:val="32"/>
          <w:szCs w:val="32"/>
          <w:lang w:val="en-US" w:eastAsia="zh-CN"/>
        </w:rPr>
      </w:pPr>
      <w:r>
        <w:rPr>
          <w:rFonts w:hint="eastAsia" w:ascii="仿宋" w:hAnsi="仿宋" w:eastAsia="仿宋"/>
          <w:color w:val="000000"/>
          <w:sz w:val="32"/>
          <w:szCs w:val="32"/>
          <w:lang w:val="en-US" w:eastAsia="zh-CN"/>
        </w:rPr>
        <w:t>检验结论为合格并且属于无偿提供的样品，组织监督抽查的市场监督管理部门应当在提出异议处理申请期限届满后及时退还。</w:t>
      </w:r>
    </w:p>
    <w:p>
      <w:pPr>
        <w:topLinePunct/>
        <w:adjustRightInd w:val="0"/>
        <w:ind w:firstLine="640" w:firstLineChars="200"/>
        <w:rPr>
          <w:rFonts w:hint="eastAsia" w:ascii="仿宋" w:hAnsi="仿宋" w:eastAsia="仿宋"/>
          <w:color w:val="000000"/>
          <w:sz w:val="32"/>
          <w:szCs w:val="32"/>
          <w:lang w:eastAsia="zh-CN"/>
        </w:rPr>
      </w:pPr>
      <w:r>
        <w:rPr>
          <w:rFonts w:hint="eastAsia" w:ascii="仿宋" w:hAnsi="仿宋" w:eastAsia="仿宋"/>
          <w:color w:val="000000"/>
          <w:sz w:val="32"/>
          <w:szCs w:val="32"/>
          <w:lang w:val="en-US" w:eastAsia="zh-CN"/>
        </w:rPr>
        <w:t>前款规定以外的其他样品，组织监督抽查的市场监督管理部门应当在提出异议处理申请期限届满后按照有关规定处理。</w:t>
      </w:r>
    </w:p>
    <w:p>
      <w:pPr>
        <w:spacing w:line="560" w:lineRule="exact"/>
        <w:outlineLvl w:val="0"/>
        <w:rPr>
          <w:rFonts w:ascii="黑体" w:hAnsi="黑体" w:eastAsia="黑体"/>
          <w:b/>
          <w:sz w:val="32"/>
          <w:szCs w:val="32"/>
        </w:rPr>
      </w:pPr>
      <w:r>
        <w:rPr>
          <w:rFonts w:hint="eastAsia" w:ascii="黑体" w:hAnsi="黑体" w:eastAsia="黑体"/>
          <w:b/>
          <w:sz w:val="32"/>
          <w:szCs w:val="32"/>
          <w:lang w:eastAsia="zh-CN"/>
        </w:rPr>
        <w:t>七、</w:t>
      </w:r>
      <w:r>
        <w:rPr>
          <w:rFonts w:hint="eastAsia" w:ascii="黑体" w:hAnsi="黑体" w:eastAsia="黑体"/>
          <w:b/>
          <w:sz w:val="32"/>
          <w:szCs w:val="32"/>
        </w:rPr>
        <w:t>承检机构信息</w:t>
      </w:r>
    </w:p>
    <w:p>
      <w:pPr>
        <w:topLinePunct/>
        <w:adjustRightInd w:val="0"/>
        <w:spacing w:line="560" w:lineRule="exact"/>
        <w:ind w:firstLine="640" w:firstLineChars="200"/>
        <w:rPr>
          <w:rFonts w:hint="eastAsia" w:ascii="仿宋" w:hAnsi="仿宋" w:eastAsia="仿宋"/>
          <w:color w:val="000000"/>
          <w:sz w:val="32"/>
          <w:szCs w:val="32"/>
          <w:lang w:eastAsia="zh-CN"/>
        </w:rPr>
      </w:pPr>
      <w:r>
        <w:rPr>
          <w:rFonts w:hint="eastAsia" w:ascii="仿宋" w:hAnsi="仿宋" w:eastAsia="仿宋"/>
          <w:color w:val="000000"/>
          <w:sz w:val="32"/>
          <w:szCs w:val="32"/>
        </w:rPr>
        <w:t>名    称：</w:t>
      </w:r>
      <w:r>
        <w:rPr>
          <w:rFonts w:hint="eastAsia" w:ascii="仿宋" w:hAnsi="仿宋" w:eastAsia="仿宋"/>
          <w:color w:val="000000"/>
          <w:sz w:val="32"/>
          <w:szCs w:val="32"/>
          <w:lang w:eastAsia="zh-CN"/>
        </w:rPr>
        <w:t>山东精准产品质量检测有限公司</w:t>
      </w:r>
    </w:p>
    <w:p>
      <w:pPr>
        <w:topLinePunct/>
        <w:adjustRightInd w:val="0"/>
        <w:spacing w:line="560" w:lineRule="exact"/>
        <w:ind w:firstLine="640" w:firstLineChars="200"/>
        <w:rPr>
          <w:rFonts w:hint="default" w:ascii="仿宋" w:hAnsi="仿宋" w:eastAsia="仿宋"/>
          <w:color w:val="000000"/>
          <w:sz w:val="32"/>
          <w:szCs w:val="32"/>
          <w:lang w:val="en-US"/>
        </w:rPr>
      </w:pPr>
      <w:r>
        <w:rPr>
          <w:rFonts w:hint="eastAsia" w:ascii="仿宋" w:hAnsi="仿宋" w:eastAsia="仿宋"/>
          <w:color w:val="000000"/>
          <w:sz w:val="32"/>
          <w:szCs w:val="32"/>
        </w:rPr>
        <w:t>地    址：</w:t>
      </w:r>
      <w:r>
        <w:rPr>
          <w:rFonts w:hint="eastAsia" w:ascii="仿宋" w:hAnsi="仿宋" w:eastAsia="仿宋"/>
          <w:color w:val="000000"/>
          <w:sz w:val="32"/>
          <w:szCs w:val="32"/>
          <w:lang w:eastAsia="zh-CN"/>
        </w:rPr>
        <w:t>山东省菏泽市高新区中华西路</w:t>
      </w:r>
      <w:r>
        <w:rPr>
          <w:rFonts w:hint="eastAsia" w:ascii="仿宋" w:hAnsi="仿宋" w:eastAsia="仿宋"/>
          <w:color w:val="000000"/>
          <w:sz w:val="32"/>
          <w:szCs w:val="32"/>
          <w:lang w:val="en-US" w:eastAsia="zh-CN"/>
        </w:rPr>
        <w:t>2059号西楼菏泽高新区金融总部经济园区685室/九为产业园内</w:t>
      </w:r>
    </w:p>
    <w:p>
      <w:pPr>
        <w:topLinePunct/>
        <w:adjustRightInd w:val="0"/>
        <w:spacing w:line="560" w:lineRule="exact"/>
        <w:ind w:firstLine="640" w:firstLineChars="200"/>
        <w:rPr>
          <w:rFonts w:hint="eastAsia" w:ascii="仿宋" w:hAnsi="仿宋" w:eastAsia="仿宋"/>
          <w:color w:val="000000"/>
          <w:sz w:val="32"/>
          <w:szCs w:val="32"/>
          <w:lang w:val="en-US" w:eastAsia="zh-CN"/>
        </w:rPr>
      </w:pPr>
      <w:r>
        <w:rPr>
          <w:rFonts w:hint="eastAsia" w:ascii="仿宋" w:hAnsi="仿宋" w:eastAsia="仿宋"/>
          <w:color w:val="000000"/>
          <w:sz w:val="32"/>
          <w:szCs w:val="32"/>
        </w:rPr>
        <w:t>联 系 人：</w:t>
      </w:r>
      <w:r>
        <w:rPr>
          <w:rFonts w:hint="eastAsia" w:ascii="仿宋" w:hAnsi="仿宋" w:eastAsia="仿宋"/>
          <w:color w:val="000000"/>
          <w:sz w:val="32"/>
          <w:szCs w:val="32"/>
          <w:lang w:eastAsia="zh-CN"/>
        </w:rPr>
        <w:t>逯中一</w:t>
      </w:r>
    </w:p>
    <w:p>
      <w:pPr>
        <w:topLinePunct/>
        <w:adjustRightInd w:val="0"/>
        <w:spacing w:line="560" w:lineRule="exact"/>
        <w:ind w:firstLine="640" w:firstLineChars="200"/>
        <w:rPr>
          <w:rFonts w:hint="default" w:ascii="仿宋" w:hAnsi="仿宋" w:eastAsia="仿宋"/>
          <w:color w:val="000000"/>
          <w:sz w:val="32"/>
          <w:szCs w:val="32"/>
          <w:lang w:val="en-US" w:eastAsia="zh-CN"/>
        </w:rPr>
      </w:pPr>
      <w:r>
        <w:rPr>
          <w:rFonts w:hint="eastAsia" w:ascii="仿宋" w:hAnsi="仿宋" w:eastAsia="仿宋"/>
          <w:color w:val="000000"/>
          <w:sz w:val="32"/>
          <w:szCs w:val="32"/>
        </w:rPr>
        <w:t>联系方式：</w:t>
      </w:r>
      <w:r>
        <w:rPr>
          <w:rFonts w:hint="eastAsia" w:ascii="仿宋" w:hAnsi="仿宋" w:eastAsia="仿宋"/>
          <w:color w:val="000000"/>
          <w:sz w:val="32"/>
          <w:szCs w:val="32"/>
          <w:lang w:val="en-US" w:eastAsia="zh-CN"/>
        </w:rPr>
        <w:t>18353094981</w:t>
      </w:r>
    </w:p>
    <w:p>
      <w:pPr>
        <w:numPr>
          <w:ilvl w:val="0"/>
          <w:numId w:val="1"/>
        </w:numPr>
        <w:spacing w:line="560" w:lineRule="exact"/>
        <w:outlineLvl w:val="0"/>
        <w:rPr>
          <w:rFonts w:hint="eastAsia" w:ascii="黑体" w:hAnsi="黑体" w:eastAsia="黑体"/>
          <w:b/>
          <w:sz w:val="32"/>
          <w:szCs w:val="32"/>
        </w:rPr>
      </w:pPr>
      <w:r>
        <w:rPr>
          <w:rFonts w:hint="eastAsia" w:ascii="黑体" w:hAnsi="黑体" w:eastAsia="黑体"/>
          <w:b/>
          <w:sz w:val="32"/>
          <w:szCs w:val="32"/>
        </w:rPr>
        <w:t>监督抽查工作要求</w:t>
      </w:r>
    </w:p>
    <w:p>
      <w:pPr>
        <w:topLinePunct/>
        <w:adjustRightInd w:val="0"/>
        <w:ind w:firstLine="640" w:firstLineChars="200"/>
        <w:rPr>
          <w:rFonts w:hint="eastAsia" w:ascii="仿宋" w:hAnsi="仿宋" w:eastAsia="仿宋"/>
          <w:color w:val="000000"/>
          <w:sz w:val="32"/>
          <w:szCs w:val="32"/>
          <w:lang w:val="en-US" w:eastAsia="zh-CN"/>
        </w:rPr>
      </w:pPr>
      <w:r>
        <w:rPr>
          <w:rFonts w:hint="eastAsia" w:ascii="仿宋" w:hAnsi="仿宋" w:eastAsia="仿宋"/>
          <w:color w:val="000000"/>
          <w:sz w:val="32"/>
          <w:szCs w:val="32"/>
          <w:highlight w:val="none"/>
          <w:lang w:val="en-US" w:eastAsia="zh-CN"/>
        </w:rPr>
        <w:t>（一）监督抽查工作要严格按照国家市场监督管理总局公布的《产品质量监督抽查管理暂行办法》、《2023年扎兰屯市车用尿素产品质量监督抽查实施细则》、《2023年扎兰屯市成品油产品质量监督抽查实施细则》、《2023年扎兰屯市电动车电池产品质量监督抽查实施细则》、《2023年扎兰屯市贵金属产品质量监督抽查实施细则》、《2023年扎兰屯市机油产品质量监督抽查实施细则》、《2023年扎兰屯市老视成镜产品质量监督抽查实施细则》、《2023年扎兰屯市煤炭产品质量监督抽查实施细则》、《2023年扎兰屯市农资产品质量监督抽查实施细则》、《2023年扎兰屯市日用品产品质量监督抽查实施细则》、《2023年扎兰屯市生活用纸产品质量监督抽查实施细则》、《2023年扎兰屯市食品相关制品质量监督抽查实施细则》、《2023年扎兰屯市塑料制品产品质量监督抽查实施细则》、《2023年扎兰屯市消防产品质量监督抽查实施细则》、《2023年扎兰屯市学生文具产品质量监督抽查实施细则》、《2023年扎兰屯市液化石油气产品质量监督抽查实施细则》、《2023年扎兰屯市纸尿裤（婴儿）产品质量监督抽查实施细则》、《2023年扎兰屯市儿童玩具产品质量监督抽查实施细则》相</w:t>
      </w:r>
      <w:r>
        <w:rPr>
          <w:rFonts w:hint="eastAsia" w:ascii="仿宋" w:hAnsi="仿宋" w:eastAsia="仿宋"/>
          <w:color w:val="000000"/>
          <w:sz w:val="32"/>
          <w:szCs w:val="32"/>
          <w:lang w:val="en-US" w:eastAsia="zh-CN"/>
        </w:rPr>
        <w:t>关规定开展，严格规范抽检程序，不得随意抽检。</w:t>
      </w:r>
    </w:p>
    <w:p>
      <w:pPr>
        <w:topLinePunct/>
        <w:adjustRightInd w:val="0"/>
        <w:ind w:firstLine="640" w:firstLineChars="200"/>
        <w:rPr>
          <w:rFonts w:hint="eastAsia" w:ascii="仿宋" w:hAnsi="仿宋" w:eastAsia="仿宋"/>
          <w:color w:val="000000"/>
          <w:sz w:val="32"/>
          <w:szCs w:val="32"/>
          <w:lang w:val="en-US" w:eastAsia="zh-CN"/>
        </w:rPr>
      </w:pPr>
      <w:r>
        <w:rPr>
          <w:rFonts w:hint="eastAsia" w:ascii="仿宋" w:hAnsi="仿宋" w:eastAsia="仿宋"/>
          <w:color w:val="000000"/>
          <w:sz w:val="32"/>
          <w:szCs w:val="32"/>
          <w:lang w:val="en-US" w:eastAsia="zh-CN"/>
        </w:rPr>
        <w:t>（二）抽样人员应规范着装持证，按方案规定抽取样品。实行抽检分离制度。除现场检验外，抽样人员不得承担其抽样产品的检验工作。要确保样品的代表性、科学性，要覆盖高中低档及一定的品牌、场所；要对样品进行确认，确保检测样品与备检样品为同一规格型号/生产批次；要认真填写抽样工作单，要求字迹清晰，信息完整，须与产品标签内容完全一致，应标明样品类别及样品等级，不得缺项、漏项，销售者及抽样人员要现场签字确认；要对样品进行现场拍照留存，样品运输要保证样品的完整与安全；对被抽检经营者要履行好告之义务，保护好经营者合法权益。</w:t>
      </w:r>
    </w:p>
    <w:p>
      <w:pPr>
        <w:topLinePunct/>
        <w:adjustRightInd w:val="0"/>
        <w:ind w:firstLine="640" w:firstLineChars="200"/>
        <w:rPr>
          <w:rFonts w:hint="eastAsia" w:ascii="仿宋" w:hAnsi="仿宋" w:eastAsia="仿宋"/>
          <w:color w:val="000000"/>
          <w:sz w:val="32"/>
          <w:szCs w:val="32"/>
          <w:lang w:val="en-US" w:eastAsia="zh-CN"/>
        </w:rPr>
      </w:pPr>
      <w:r>
        <w:rPr>
          <w:rFonts w:hint="eastAsia" w:ascii="仿宋" w:hAnsi="仿宋" w:eastAsia="仿宋"/>
          <w:color w:val="000000"/>
          <w:sz w:val="32"/>
          <w:szCs w:val="32"/>
          <w:lang w:val="en-US" w:eastAsia="zh-CN"/>
        </w:rPr>
        <w:t>（三）承检机构应当在委托范围内开展抽样、检验工作，保证抽样、检验工作及其结果的客观、公正、真实。</w:t>
      </w:r>
    </w:p>
    <w:p>
      <w:pPr>
        <w:pStyle w:val="28"/>
        <w:numPr>
          <w:ilvl w:val="0"/>
          <w:numId w:val="0"/>
        </w:numPr>
        <w:ind w:leftChars="0"/>
        <w:rPr>
          <w:rFonts w:hint="eastAsia" w:ascii="黑体" w:hAnsi="黑体" w:eastAsia="黑体" w:cs="黑体"/>
          <w:b/>
          <w:bCs/>
          <w:color w:val="auto"/>
          <w:sz w:val="32"/>
          <w:szCs w:val="32"/>
          <w:lang w:val="en-US" w:eastAsia="zh-CN"/>
        </w:rPr>
      </w:pPr>
      <w:r>
        <w:rPr>
          <w:rFonts w:hint="eastAsia" w:ascii="黑体" w:hAnsi="黑体" w:eastAsia="黑体" w:cs="黑体"/>
          <w:b/>
          <w:bCs/>
          <w:color w:val="auto"/>
          <w:sz w:val="32"/>
          <w:szCs w:val="32"/>
          <w:lang w:val="en-US" w:eastAsia="zh-CN"/>
        </w:rPr>
        <w:t>九、其他应注意的事项</w:t>
      </w:r>
    </w:p>
    <w:p>
      <w:pPr>
        <w:snapToGrid w:val="0"/>
        <w:spacing w:line="440" w:lineRule="exact"/>
        <w:rPr>
          <w:rFonts w:ascii="黑体" w:hAnsi="宋体" w:eastAsia="黑体"/>
          <w:b/>
          <w:bCs/>
          <w:color w:val="auto"/>
          <w:sz w:val="30"/>
          <w:szCs w:val="30"/>
          <w:highlight w:val="none"/>
        </w:rPr>
      </w:pPr>
      <w:r>
        <w:rPr>
          <w:rFonts w:hint="eastAsia" w:ascii="黑体" w:hAnsi="宋体" w:eastAsia="黑体"/>
          <w:b/>
          <w:bCs/>
          <w:color w:val="auto"/>
          <w:sz w:val="30"/>
          <w:szCs w:val="30"/>
          <w:highlight w:val="none"/>
          <w:lang w:val="en-US" w:eastAsia="zh-CN"/>
        </w:rPr>
        <w:t>1、</w:t>
      </w:r>
      <w:r>
        <w:rPr>
          <w:rFonts w:hint="eastAsia" w:ascii="黑体" w:hAnsi="宋体" w:eastAsia="黑体"/>
          <w:b/>
          <w:bCs/>
          <w:color w:val="auto"/>
          <w:sz w:val="30"/>
          <w:szCs w:val="30"/>
          <w:highlight w:val="none"/>
        </w:rPr>
        <w:t>异议处理</w:t>
      </w:r>
    </w:p>
    <w:p>
      <w:pPr>
        <w:pStyle w:val="37"/>
        <w:numPr>
          <w:ilvl w:val="0"/>
          <w:numId w:val="0"/>
        </w:numPr>
        <w:ind w:leftChars="0" w:firstLine="640" w:firstLineChars="200"/>
        <w:jc w:val="left"/>
        <w:rPr>
          <w:rFonts w:hint="eastAsia" w:ascii="仿宋" w:hAnsi="仿宋" w:eastAsia="仿宋" w:cstheme="minorBidi"/>
          <w:color w:val="000000"/>
          <w:kern w:val="2"/>
          <w:sz w:val="32"/>
          <w:szCs w:val="32"/>
          <w:lang w:val="en-US" w:eastAsia="zh-CN" w:bidi="ar-SA"/>
        </w:rPr>
      </w:pPr>
      <w:r>
        <w:rPr>
          <w:rFonts w:hint="eastAsia" w:ascii="仿宋" w:hAnsi="仿宋" w:eastAsia="仿宋" w:cstheme="minorBidi"/>
          <w:color w:val="000000"/>
          <w:kern w:val="2"/>
          <w:sz w:val="32"/>
          <w:szCs w:val="32"/>
          <w:lang w:val="en-US" w:eastAsia="zh-CN" w:bidi="ar-SA"/>
        </w:rPr>
        <w:t>对判定不合格产品进行异议处理时，按以下方式进行：</w:t>
      </w:r>
    </w:p>
    <w:p>
      <w:pPr>
        <w:pStyle w:val="37"/>
        <w:numPr>
          <w:ilvl w:val="0"/>
          <w:numId w:val="0"/>
        </w:numPr>
        <w:ind w:leftChars="0" w:firstLine="640" w:firstLineChars="200"/>
        <w:jc w:val="left"/>
        <w:rPr>
          <w:rFonts w:hint="eastAsia" w:ascii="仿宋" w:hAnsi="仿宋" w:eastAsia="仿宋" w:cstheme="minorBidi"/>
          <w:color w:val="000000"/>
          <w:kern w:val="2"/>
          <w:sz w:val="32"/>
          <w:szCs w:val="32"/>
          <w:lang w:val="en-US" w:eastAsia="zh-CN" w:bidi="ar-SA"/>
        </w:rPr>
      </w:pPr>
      <w:r>
        <w:rPr>
          <w:rFonts w:hint="eastAsia" w:ascii="仿宋" w:hAnsi="仿宋" w:eastAsia="仿宋" w:cstheme="minorBidi"/>
          <w:color w:val="000000"/>
          <w:kern w:val="2"/>
          <w:sz w:val="32"/>
          <w:szCs w:val="32"/>
          <w:lang w:val="en-US" w:eastAsia="zh-CN" w:bidi="ar-SA"/>
        </w:rPr>
        <w:t>核查不合格项目相关证据，能够以记录（纸质记录或电子记录或影像记录）或与不合格项目相关联的其它质量数据等检验证据证明，并得到被检方认可的，维持原有检验结论不变。</w:t>
      </w:r>
    </w:p>
    <w:p>
      <w:pPr>
        <w:pStyle w:val="37"/>
        <w:numPr>
          <w:ilvl w:val="0"/>
          <w:numId w:val="0"/>
        </w:numPr>
        <w:ind w:leftChars="0" w:firstLine="640" w:firstLineChars="200"/>
        <w:jc w:val="left"/>
        <w:rPr>
          <w:rFonts w:hint="eastAsia" w:ascii="仿宋" w:hAnsi="仿宋" w:eastAsia="仿宋" w:cstheme="minorBidi"/>
          <w:color w:val="000000"/>
          <w:kern w:val="2"/>
          <w:sz w:val="32"/>
          <w:szCs w:val="32"/>
          <w:lang w:val="en-US" w:eastAsia="zh-CN" w:bidi="ar-SA"/>
        </w:rPr>
      </w:pPr>
      <w:r>
        <w:rPr>
          <w:rFonts w:hint="eastAsia" w:ascii="仿宋" w:hAnsi="仿宋" w:eastAsia="仿宋" w:cstheme="minorBidi"/>
          <w:color w:val="000000"/>
          <w:kern w:val="2"/>
          <w:sz w:val="32"/>
          <w:szCs w:val="32"/>
          <w:lang w:val="en-US" w:eastAsia="zh-CN" w:bidi="ar-SA"/>
        </w:rPr>
        <w:t>对需要复检并具备检验条件的，处理企业异议的市场监督管理部门或者指定检验机构应当按原监督抽查方案对留存的样品或抽取的备用样品组织复检，并出具检验报告。复检结论为最终结论。</w:t>
      </w:r>
    </w:p>
    <w:p>
      <w:pPr>
        <w:pStyle w:val="37"/>
        <w:numPr>
          <w:ilvl w:val="0"/>
          <w:numId w:val="0"/>
        </w:numPr>
        <w:ind w:leftChars="0" w:firstLine="640" w:firstLineChars="200"/>
        <w:jc w:val="left"/>
        <w:rPr>
          <w:rFonts w:hint="eastAsia" w:ascii="仿宋" w:hAnsi="仿宋" w:eastAsia="仿宋" w:cstheme="minorBidi"/>
          <w:color w:val="000000"/>
          <w:kern w:val="2"/>
          <w:sz w:val="32"/>
          <w:szCs w:val="32"/>
          <w:lang w:val="en-US" w:eastAsia="zh-CN" w:bidi="ar-SA"/>
        </w:rPr>
      </w:pPr>
      <w:r>
        <w:rPr>
          <w:rFonts w:hint="eastAsia" w:ascii="仿宋" w:hAnsi="仿宋" w:eastAsia="仿宋" w:cstheme="minorBidi"/>
          <w:color w:val="000000"/>
          <w:kern w:val="2"/>
          <w:sz w:val="32"/>
          <w:szCs w:val="32"/>
          <w:lang w:val="en-US" w:eastAsia="zh-CN" w:bidi="ar-SA"/>
        </w:rPr>
        <w:t>被抽样生产者、销售者有异议的，应当自收到检验结论书面告知之日起十五日内向组织监督抽查的市场监督管理部门提出书面异议处理申请，并提交相关材料。</w:t>
      </w:r>
    </w:p>
    <w:p>
      <w:pPr>
        <w:pStyle w:val="37"/>
        <w:numPr>
          <w:ilvl w:val="0"/>
          <w:numId w:val="0"/>
        </w:numPr>
        <w:ind w:leftChars="0" w:firstLine="640" w:firstLineChars="200"/>
        <w:jc w:val="left"/>
        <w:rPr>
          <w:rFonts w:hint="eastAsia" w:ascii="仿宋" w:hAnsi="仿宋" w:eastAsia="仿宋" w:cstheme="minorBidi"/>
          <w:color w:val="000000"/>
          <w:kern w:val="2"/>
          <w:sz w:val="32"/>
          <w:szCs w:val="32"/>
          <w:lang w:val="en-US" w:eastAsia="zh-CN" w:bidi="ar-SA"/>
        </w:rPr>
      </w:pPr>
      <w:r>
        <w:rPr>
          <w:rFonts w:hint="eastAsia" w:ascii="仿宋" w:hAnsi="仿宋" w:eastAsia="仿宋" w:cstheme="minorBidi"/>
          <w:color w:val="000000"/>
          <w:kern w:val="2"/>
          <w:sz w:val="32"/>
          <w:szCs w:val="32"/>
          <w:lang w:val="en-US" w:eastAsia="zh-CN" w:bidi="ar-SA"/>
        </w:rPr>
        <w:t>被抽样生产者、销售者对抽样过程、样品真实性等有异议的，收到异议处理申请的市场监督管理部门应当组织异议处理，并将处理结论书面告知申请人。</w:t>
      </w:r>
    </w:p>
    <w:p>
      <w:pPr>
        <w:pStyle w:val="37"/>
        <w:numPr>
          <w:ilvl w:val="0"/>
          <w:numId w:val="0"/>
        </w:numPr>
        <w:ind w:leftChars="0" w:firstLine="640" w:firstLineChars="200"/>
        <w:jc w:val="left"/>
        <w:rPr>
          <w:rFonts w:hint="eastAsia" w:ascii="仿宋" w:hAnsi="仿宋" w:eastAsia="仿宋" w:cstheme="minorBidi"/>
          <w:color w:val="000000"/>
          <w:kern w:val="2"/>
          <w:sz w:val="32"/>
          <w:szCs w:val="32"/>
          <w:lang w:val="en-US" w:eastAsia="zh-CN" w:bidi="ar-SA"/>
        </w:rPr>
      </w:pPr>
      <w:r>
        <w:rPr>
          <w:rFonts w:hint="eastAsia" w:ascii="仿宋" w:hAnsi="仿宋" w:eastAsia="仿宋" w:cstheme="minorBidi"/>
          <w:color w:val="000000"/>
          <w:kern w:val="2"/>
          <w:sz w:val="32"/>
          <w:szCs w:val="32"/>
          <w:lang w:val="en-US" w:eastAsia="zh-CN" w:bidi="ar-SA"/>
        </w:rPr>
        <w:t>被抽样生产者、销售者对检验结论有异议，提出书面复检申请并阐明理由的，收到异议处理申请的市场监督管理部门应当组织研究。对需要复检并具备检验条件的，应当组织复检。</w:t>
      </w:r>
    </w:p>
    <w:p>
      <w:pPr>
        <w:pStyle w:val="37"/>
        <w:numPr>
          <w:ilvl w:val="0"/>
          <w:numId w:val="0"/>
        </w:numPr>
        <w:ind w:leftChars="0" w:firstLine="640" w:firstLineChars="200"/>
        <w:jc w:val="left"/>
        <w:rPr>
          <w:rFonts w:hint="eastAsia" w:ascii="仿宋" w:hAnsi="仿宋" w:eastAsia="仿宋" w:cstheme="minorBidi"/>
          <w:color w:val="000000"/>
          <w:kern w:val="2"/>
          <w:sz w:val="32"/>
          <w:szCs w:val="32"/>
          <w:lang w:val="en-US" w:eastAsia="zh-CN" w:bidi="ar-SA"/>
        </w:rPr>
      </w:pPr>
      <w:r>
        <w:rPr>
          <w:rFonts w:hint="eastAsia" w:ascii="仿宋" w:hAnsi="仿宋" w:eastAsia="仿宋" w:cstheme="minorBidi"/>
          <w:color w:val="000000"/>
          <w:kern w:val="2"/>
          <w:sz w:val="32"/>
          <w:szCs w:val="32"/>
          <w:lang w:val="en-US" w:eastAsia="zh-CN" w:bidi="ar-SA"/>
        </w:rPr>
        <w:t>除不以破坏性试验方式进行检验，并且不会对样品质量造成实质性影响的外，组织复检的市场监督管理部门应当向被抽样生产者、销售者支付备用样品费用。</w:t>
      </w:r>
    </w:p>
    <w:p>
      <w:pPr>
        <w:pStyle w:val="37"/>
        <w:numPr>
          <w:ilvl w:val="0"/>
          <w:numId w:val="0"/>
        </w:numPr>
        <w:ind w:leftChars="0" w:firstLine="640" w:firstLineChars="200"/>
        <w:jc w:val="left"/>
        <w:rPr>
          <w:rFonts w:hint="eastAsia" w:ascii="仿宋" w:hAnsi="仿宋" w:eastAsia="仿宋" w:cstheme="minorBidi"/>
          <w:color w:val="000000"/>
          <w:kern w:val="2"/>
          <w:sz w:val="32"/>
          <w:szCs w:val="32"/>
          <w:lang w:val="en-US" w:eastAsia="zh-CN" w:bidi="ar-SA"/>
        </w:rPr>
      </w:pPr>
      <w:r>
        <w:rPr>
          <w:rFonts w:hint="eastAsia" w:ascii="仿宋" w:hAnsi="仿宋" w:eastAsia="仿宋" w:cstheme="minorBidi"/>
          <w:color w:val="000000"/>
          <w:kern w:val="2"/>
          <w:sz w:val="32"/>
          <w:szCs w:val="32"/>
          <w:lang w:val="en-US" w:eastAsia="zh-CN" w:bidi="ar-SA"/>
        </w:rPr>
        <w:t>申请人应当自收到市场监督管理部门复检通知之日起七日内办理复检手续。逾期未办理的，视为放弃复检。</w:t>
      </w:r>
    </w:p>
    <w:p>
      <w:pPr>
        <w:pStyle w:val="37"/>
        <w:numPr>
          <w:ilvl w:val="0"/>
          <w:numId w:val="0"/>
        </w:numPr>
        <w:ind w:leftChars="0" w:firstLine="640" w:firstLineChars="200"/>
        <w:jc w:val="left"/>
        <w:rPr>
          <w:rFonts w:hint="eastAsia" w:ascii="仿宋" w:hAnsi="仿宋" w:eastAsia="仿宋" w:cstheme="minorBidi"/>
          <w:color w:val="000000"/>
          <w:kern w:val="2"/>
          <w:sz w:val="32"/>
          <w:szCs w:val="32"/>
          <w:lang w:val="en-US" w:eastAsia="zh-CN" w:bidi="ar-SA"/>
        </w:rPr>
      </w:pPr>
      <w:r>
        <w:rPr>
          <w:rFonts w:hint="eastAsia" w:ascii="仿宋" w:hAnsi="仿宋" w:eastAsia="仿宋" w:cstheme="minorBidi"/>
          <w:color w:val="000000"/>
          <w:kern w:val="2"/>
          <w:sz w:val="32"/>
          <w:szCs w:val="32"/>
          <w:lang w:val="en-US" w:eastAsia="zh-CN" w:bidi="ar-SA"/>
        </w:rPr>
        <w:t>市场监督管理部门应当自申请人办理复检手续之日起十日内确定具备相应资质的检验机构进行复检。</w:t>
      </w:r>
    </w:p>
    <w:p>
      <w:pPr>
        <w:pStyle w:val="37"/>
        <w:numPr>
          <w:ilvl w:val="0"/>
          <w:numId w:val="0"/>
        </w:numPr>
        <w:ind w:leftChars="0" w:firstLine="640" w:firstLineChars="200"/>
        <w:jc w:val="left"/>
        <w:rPr>
          <w:rFonts w:hint="eastAsia" w:ascii="仿宋" w:hAnsi="仿宋" w:eastAsia="仿宋" w:cstheme="minorBidi"/>
          <w:color w:val="000000"/>
          <w:kern w:val="2"/>
          <w:sz w:val="32"/>
          <w:szCs w:val="32"/>
          <w:lang w:val="en-US" w:eastAsia="zh-CN" w:bidi="ar-SA"/>
        </w:rPr>
      </w:pPr>
      <w:r>
        <w:rPr>
          <w:rFonts w:hint="eastAsia" w:ascii="仿宋" w:hAnsi="仿宋" w:eastAsia="仿宋" w:cstheme="minorBidi"/>
          <w:color w:val="000000"/>
          <w:kern w:val="2"/>
          <w:sz w:val="32"/>
          <w:szCs w:val="32"/>
          <w:lang w:val="en-US" w:eastAsia="zh-CN" w:bidi="ar-SA"/>
        </w:rPr>
        <w:t>被抽样生产者、销售者隐匿、转移、变卖、损毁备用样品的，应当终止复检，并以初检结论为最终结论。</w:t>
      </w:r>
    </w:p>
    <w:p>
      <w:pPr>
        <w:pStyle w:val="37"/>
        <w:numPr>
          <w:ilvl w:val="0"/>
          <w:numId w:val="0"/>
        </w:numPr>
        <w:ind w:leftChars="0" w:firstLine="640" w:firstLineChars="200"/>
        <w:jc w:val="left"/>
        <w:rPr>
          <w:rFonts w:hint="eastAsia" w:ascii="仿宋" w:hAnsi="仿宋" w:eastAsia="仿宋" w:cstheme="minorBidi"/>
          <w:color w:val="000000"/>
          <w:kern w:val="2"/>
          <w:sz w:val="32"/>
          <w:szCs w:val="32"/>
          <w:lang w:val="en-US" w:eastAsia="zh-CN" w:bidi="ar-SA"/>
        </w:rPr>
      </w:pPr>
      <w:r>
        <w:rPr>
          <w:rFonts w:hint="eastAsia" w:ascii="仿宋" w:hAnsi="仿宋" w:eastAsia="仿宋" w:cstheme="minorBidi"/>
          <w:color w:val="000000"/>
          <w:kern w:val="2"/>
          <w:sz w:val="32"/>
          <w:szCs w:val="32"/>
          <w:lang w:val="en-US" w:eastAsia="zh-CN" w:bidi="ar-SA"/>
        </w:rPr>
        <w:t>复检机构应当通过拍照或者录像的方式检查记录备用样品的外观、状态、封条有无破损以及其他可能对检验结论产生影响的情形，并核对备用样品与抽样文书的记录是否相符。</w:t>
      </w:r>
    </w:p>
    <w:p>
      <w:pPr>
        <w:pStyle w:val="37"/>
        <w:numPr>
          <w:ilvl w:val="0"/>
          <w:numId w:val="0"/>
        </w:numPr>
        <w:ind w:leftChars="0" w:firstLine="640" w:firstLineChars="200"/>
        <w:jc w:val="left"/>
        <w:rPr>
          <w:rFonts w:hint="eastAsia" w:ascii="仿宋" w:hAnsi="仿宋" w:eastAsia="仿宋" w:cstheme="minorBidi"/>
          <w:color w:val="000000"/>
          <w:kern w:val="2"/>
          <w:sz w:val="32"/>
          <w:szCs w:val="32"/>
          <w:lang w:val="en-US" w:eastAsia="zh-CN" w:bidi="ar-SA"/>
        </w:rPr>
      </w:pPr>
      <w:r>
        <w:rPr>
          <w:rFonts w:hint="eastAsia" w:ascii="仿宋" w:hAnsi="仿宋" w:eastAsia="仿宋" w:cstheme="minorBidi"/>
          <w:color w:val="000000"/>
          <w:kern w:val="2"/>
          <w:sz w:val="32"/>
          <w:szCs w:val="32"/>
          <w:lang w:val="en-US" w:eastAsia="zh-CN" w:bidi="ar-SA"/>
        </w:rPr>
        <w:t>复检机构应当在规定时间内按照监督抽查实施规范所规定的检验方法、判定规则等对与异议相关的检验项目进行复检，并将复检结论及时报送组织复检的市场监督管理部门，由组织复检的市场监督管理部门书面告知复检申请人。复检结论为最终结论。</w:t>
      </w:r>
    </w:p>
    <w:p>
      <w:pPr>
        <w:pStyle w:val="37"/>
        <w:numPr>
          <w:ilvl w:val="0"/>
          <w:numId w:val="0"/>
        </w:numPr>
        <w:ind w:leftChars="0" w:firstLine="640" w:firstLineChars="200"/>
        <w:jc w:val="left"/>
        <w:rPr>
          <w:rFonts w:hint="eastAsia" w:ascii="仿宋" w:hAnsi="仿宋" w:eastAsia="仿宋" w:cstheme="minorBidi"/>
          <w:color w:val="000000"/>
          <w:kern w:val="2"/>
          <w:sz w:val="32"/>
          <w:szCs w:val="32"/>
          <w:lang w:val="en-US" w:eastAsia="zh-CN" w:bidi="ar-SA"/>
        </w:rPr>
      </w:pPr>
      <w:r>
        <w:rPr>
          <w:rFonts w:hint="eastAsia" w:ascii="仿宋" w:hAnsi="仿宋" w:eastAsia="仿宋" w:cstheme="minorBidi"/>
          <w:color w:val="000000"/>
          <w:kern w:val="2"/>
          <w:sz w:val="32"/>
          <w:szCs w:val="32"/>
          <w:lang w:val="en-US" w:eastAsia="zh-CN" w:bidi="ar-SA"/>
        </w:rPr>
        <w:t>复检费用由申请人向复检机构先行支付。复检结论与初检结论一致的，复检费用由申请人承担；与初检结论不一致的，复检费用由组织监督抽查的市场监督管理部门承担。</w:t>
      </w:r>
    </w:p>
    <w:p>
      <w:pPr>
        <w:snapToGrid w:val="0"/>
        <w:spacing w:line="440" w:lineRule="exact"/>
        <w:rPr>
          <w:rFonts w:hint="default" w:ascii="黑体" w:hAnsi="宋体" w:eastAsia="黑体"/>
          <w:b/>
          <w:bCs/>
          <w:color w:val="auto"/>
          <w:sz w:val="30"/>
          <w:szCs w:val="30"/>
          <w:highlight w:val="none"/>
          <w:lang w:val="en-US" w:eastAsia="zh-CN"/>
        </w:rPr>
      </w:pPr>
      <w:r>
        <w:rPr>
          <w:rFonts w:hint="eastAsia" w:ascii="黑体" w:hAnsi="宋体" w:eastAsia="黑体"/>
          <w:b/>
          <w:bCs/>
          <w:color w:val="auto"/>
          <w:sz w:val="30"/>
          <w:szCs w:val="30"/>
          <w:highlight w:val="none"/>
          <w:lang w:val="en-US" w:eastAsia="zh-CN"/>
        </w:rPr>
        <w:t>2、有下列情形之一的，抽样人员不得抽样：</w:t>
      </w:r>
    </w:p>
    <w:p>
      <w:pPr>
        <w:pStyle w:val="37"/>
        <w:numPr>
          <w:ilvl w:val="0"/>
          <w:numId w:val="0"/>
        </w:numPr>
        <w:ind w:leftChars="0" w:firstLine="640" w:firstLineChars="200"/>
        <w:jc w:val="left"/>
        <w:rPr>
          <w:rFonts w:hint="eastAsia" w:ascii="仿宋" w:hAnsi="仿宋" w:eastAsia="仿宋" w:cstheme="minorBidi"/>
          <w:color w:val="000000"/>
          <w:kern w:val="2"/>
          <w:sz w:val="32"/>
          <w:szCs w:val="32"/>
          <w:lang w:val="en-US" w:eastAsia="zh-CN" w:bidi="ar-SA"/>
        </w:rPr>
      </w:pPr>
      <w:r>
        <w:rPr>
          <w:rFonts w:hint="eastAsia" w:ascii="仿宋" w:hAnsi="仿宋" w:eastAsia="仿宋" w:cstheme="minorBidi"/>
          <w:color w:val="000000"/>
          <w:kern w:val="2"/>
          <w:sz w:val="32"/>
          <w:szCs w:val="32"/>
          <w:lang w:val="en-US" w:eastAsia="zh-CN" w:bidi="ar-SA"/>
        </w:rPr>
        <w:t>（一）待销产品数量不符合监督抽查实施规范要求的；</w:t>
      </w:r>
    </w:p>
    <w:p>
      <w:pPr>
        <w:pStyle w:val="37"/>
        <w:numPr>
          <w:ilvl w:val="0"/>
          <w:numId w:val="0"/>
        </w:numPr>
        <w:ind w:leftChars="0" w:firstLine="640" w:firstLineChars="200"/>
        <w:jc w:val="left"/>
        <w:rPr>
          <w:rFonts w:hint="eastAsia" w:ascii="仿宋" w:hAnsi="仿宋" w:eastAsia="仿宋" w:cstheme="minorBidi"/>
          <w:color w:val="000000"/>
          <w:kern w:val="2"/>
          <w:sz w:val="32"/>
          <w:szCs w:val="32"/>
          <w:lang w:val="en-US" w:eastAsia="zh-CN" w:bidi="ar-SA"/>
        </w:rPr>
      </w:pPr>
      <w:r>
        <w:rPr>
          <w:rFonts w:hint="eastAsia" w:ascii="仿宋" w:hAnsi="仿宋" w:eastAsia="仿宋" w:cstheme="minorBidi"/>
          <w:color w:val="000000"/>
          <w:kern w:val="2"/>
          <w:sz w:val="32"/>
          <w:szCs w:val="32"/>
          <w:lang w:val="en-US" w:eastAsia="zh-CN" w:bidi="ar-SA"/>
        </w:rPr>
        <w:t>（二）有充分证据表明拟抽样产品不用于销售，或者只用于出口并且出口合同对产品质量另有约定的；</w:t>
      </w:r>
    </w:p>
    <w:p>
      <w:pPr>
        <w:pStyle w:val="37"/>
        <w:numPr>
          <w:ilvl w:val="0"/>
          <w:numId w:val="0"/>
        </w:numPr>
        <w:ind w:leftChars="0" w:firstLine="640" w:firstLineChars="200"/>
        <w:jc w:val="left"/>
        <w:rPr>
          <w:rFonts w:hint="eastAsia" w:ascii="仿宋" w:hAnsi="仿宋" w:eastAsia="仿宋" w:cstheme="minorBidi"/>
          <w:color w:val="000000"/>
          <w:kern w:val="2"/>
          <w:sz w:val="32"/>
          <w:szCs w:val="32"/>
          <w:lang w:val="en-US" w:eastAsia="zh-CN" w:bidi="ar-SA"/>
        </w:rPr>
      </w:pPr>
      <w:r>
        <w:rPr>
          <w:rFonts w:hint="eastAsia" w:ascii="仿宋" w:hAnsi="仿宋" w:eastAsia="仿宋" w:cstheme="minorBidi"/>
          <w:color w:val="000000"/>
          <w:kern w:val="2"/>
          <w:sz w:val="32"/>
          <w:szCs w:val="32"/>
          <w:lang w:val="en-US" w:eastAsia="zh-CN" w:bidi="ar-SA"/>
        </w:rPr>
        <w:t>（三）产品或者其包装上标注“试制”、“处理”、“样品”等字样的。</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MingLiU">
    <w:panose1 w:val="02020509000000000000"/>
    <w:charset w:val="88"/>
    <w:family w:val="modern"/>
    <w:pitch w:val="default"/>
    <w:sig w:usb0="A00002FF" w:usb1="28CFFCFA" w:usb2="00000016" w:usb3="00000000" w:csb0="001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1</w:t>
    </w:r>
    <w:r>
      <w:rPr>
        <w:lang w:val="zh-CN"/>
      </w:rP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B49105"/>
    <w:multiLevelType w:val="singleLevel"/>
    <w:tmpl w:val="D8B49105"/>
    <w:lvl w:ilvl="0" w:tentative="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xZGVlZDJkYTAxYjM0N2IxODAwMjA0MTQxYTdhZDEifQ=="/>
  </w:docVars>
  <w:rsids>
    <w:rsidRoot w:val="00083A21"/>
    <w:rsid w:val="00047315"/>
    <w:rsid w:val="00050E55"/>
    <w:rsid w:val="00083A21"/>
    <w:rsid w:val="000A11D7"/>
    <w:rsid w:val="000A43A4"/>
    <w:rsid w:val="000C7E04"/>
    <w:rsid w:val="00105641"/>
    <w:rsid w:val="0011281C"/>
    <w:rsid w:val="00133DB8"/>
    <w:rsid w:val="00154603"/>
    <w:rsid w:val="00161DA8"/>
    <w:rsid w:val="00167E91"/>
    <w:rsid w:val="001E2312"/>
    <w:rsid w:val="00221930"/>
    <w:rsid w:val="00224F77"/>
    <w:rsid w:val="00263EA8"/>
    <w:rsid w:val="002A7C53"/>
    <w:rsid w:val="002B2884"/>
    <w:rsid w:val="002E317A"/>
    <w:rsid w:val="00325266"/>
    <w:rsid w:val="003575AB"/>
    <w:rsid w:val="00361BB7"/>
    <w:rsid w:val="00370B3C"/>
    <w:rsid w:val="00387D28"/>
    <w:rsid w:val="00397716"/>
    <w:rsid w:val="003A1EBB"/>
    <w:rsid w:val="00431A76"/>
    <w:rsid w:val="00465A1B"/>
    <w:rsid w:val="0047238F"/>
    <w:rsid w:val="004E27AB"/>
    <w:rsid w:val="00541581"/>
    <w:rsid w:val="005779D4"/>
    <w:rsid w:val="005A461A"/>
    <w:rsid w:val="00610318"/>
    <w:rsid w:val="00670123"/>
    <w:rsid w:val="006A5A19"/>
    <w:rsid w:val="006C1A7B"/>
    <w:rsid w:val="006D47DA"/>
    <w:rsid w:val="006E3CD8"/>
    <w:rsid w:val="00750BB7"/>
    <w:rsid w:val="00767D33"/>
    <w:rsid w:val="007A761E"/>
    <w:rsid w:val="007C0A54"/>
    <w:rsid w:val="008531CA"/>
    <w:rsid w:val="00892259"/>
    <w:rsid w:val="008D70E4"/>
    <w:rsid w:val="00927AD2"/>
    <w:rsid w:val="00960995"/>
    <w:rsid w:val="009A483D"/>
    <w:rsid w:val="009B5C89"/>
    <w:rsid w:val="009C541A"/>
    <w:rsid w:val="00A114F9"/>
    <w:rsid w:val="00AC278D"/>
    <w:rsid w:val="00B229C2"/>
    <w:rsid w:val="00B42E07"/>
    <w:rsid w:val="00C01315"/>
    <w:rsid w:val="00C02A51"/>
    <w:rsid w:val="00C52718"/>
    <w:rsid w:val="00CD554F"/>
    <w:rsid w:val="00D047DE"/>
    <w:rsid w:val="00D308AF"/>
    <w:rsid w:val="00D46C9E"/>
    <w:rsid w:val="00D538B2"/>
    <w:rsid w:val="00D60D6A"/>
    <w:rsid w:val="00D75579"/>
    <w:rsid w:val="00DF75BE"/>
    <w:rsid w:val="00E371E1"/>
    <w:rsid w:val="00E37D3B"/>
    <w:rsid w:val="00E50A2F"/>
    <w:rsid w:val="00E768BB"/>
    <w:rsid w:val="00E81DC0"/>
    <w:rsid w:val="00E962D4"/>
    <w:rsid w:val="00EA27B2"/>
    <w:rsid w:val="00EA5501"/>
    <w:rsid w:val="00EF5654"/>
    <w:rsid w:val="00F0264C"/>
    <w:rsid w:val="00F07B7D"/>
    <w:rsid w:val="00F1758E"/>
    <w:rsid w:val="00F24034"/>
    <w:rsid w:val="00F611E4"/>
    <w:rsid w:val="00F668DF"/>
    <w:rsid w:val="00F7332C"/>
    <w:rsid w:val="00F80D42"/>
    <w:rsid w:val="00FB0F69"/>
    <w:rsid w:val="00FC701D"/>
    <w:rsid w:val="01014CA9"/>
    <w:rsid w:val="011D0C62"/>
    <w:rsid w:val="0146105A"/>
    <w:rsid w:val="01487061"/>
    <w:rsid w:val="016750FB"/>
    <w:rsid w:val="01A41724"/>
    <w:rsid w:val="01FF0F05"/>
    <w:rsid w:val="02347CF7"/>
    <w:rsid w:val="0253306D"/>
    <w:rsid w:val="028538CE"/>
    <w:rsid w:val="028B618D"/>
    <w:rsid w:val="0295277A"/>
    <w:rsid w:val="02A76543"/>
    <w:rsid w:val="02EF492C"/>
    <w:rsid w:val="035621AE"/>
    <w:rsid w:val="037774EE"/>
    <w:rsid w:val="03C60832"/>
    <w:rsid w:val="03CF6589"/>
    <w:rsid w:val="040A28EB"/>
    <w:rsid w:val="043D64FC"/>
    <w:rsid w:val="048E605F"/>
    <w:rsid w:val="04A2231A"/>
    <w:rsid w:val="04C17E38"/>
    <w:rsid w:val="04CE3908"/>
    <w:rsid w:val="05151950"/>
    <w:rsid w:val="05682C9B"/>
    <w:rsid w:val="05BE4C1A"/>
    <w:rsid w:val="05FC729E"/>
    <w:rsid w:val="06343329"/>
    <w:rsid w:val="0635198C"/>
    <w:rsid w:val="064435DD"/>
    <w:rsid w:val="06594AAD"/>
    <w:rsid w:val="06691F53"/>
    <w:rsid w:val="0673513B"/>
    <w:rsid w:val="067F46F8"/>
    <w:rsid w:val="06BC70A2"/>
    <w:rsid w:val="06D1487F"/>
    <w:rsid w:val="07012F43"/>
    <w:rsid w:val="070D23A8"/>
    <w:rsid w:val="076F18D4"/>
    <w:rsid w:val="07C913DA"/>
    <w:rsid w:val="07F03DB6"/>
    <w:rsid w:val="081421A0"/>
    <w:rsid w:val="08270FFF"/>
    <w:rsid w:val="0833776F"/>
    <w:rsid w:val="08767C22"/>
    <w:rsid w:val="08AC2D35"/>
    <w:rsid w:val="08BE32AD"/>
    <w:rsid w:val="08CC2909"/>
    <w:rsid w:val="091806F8"/>
    <w:rsid w:val="09A5055E"/>
    <w:rsid w:val="09D81BAE"/>
    <w:rsid w:val="09EF717A"/>
    <w:rsid w:val="0A1E15AB"/>
    <w:rsid w:val="0A3E0435"/>
    <w:rsid w:val="0A646EE4"/>
    <w:rsid w:val="0A993FB0"/>
    <w:rsid w:val="0AB83E77"/>
    <w:rsid w:val="0B1422AF"/>
    <w:rsid w:val="0B513D38"/>
    <w:rsid w:val="0B7619B7"/>
    <w:rsid w:val="0BB17127"/>
    <w:rsid w:val="0BD04779"/>
    <w:rsid w:val="0BF85E6F"/>
    <w:rsid w:val="0CA27F6D"/>
    <w:rsid w:val="0D004061"/>
    <w:rsid w:val="0D464D9C"/>
    <w:rsid w:val="0D546315"/>
    <w:rsid w:val="0D936EA5"/>
    <w:rsid w:val="0DD02107"/>
    <w:rsid w:val="0E4C7F3E"/>
    <w:rsid w:val="0EA53D44"/>
    <w:rsid w:val="0EC77D8F"/>
    <w:rsid w:val="0EDC268C"/>
    <w:rsid w:val="0EFC695D"/>
    <w:rsid w:val="0F0F7540"/>
    <w:rsid w:val="0F2A2810"/>
    <w:rsid w:val="0F5D00AE"/>
    <w:rsid w:val="0F961CFB"/>
    <w:rsid w:val="10262C0F"/>
    <w:rsid w:val="105D1DBB"/>
    <w:rsid w:val="10AA71BC"/>
    <w:rsid w:val="10B85D27"/>
    <w:rsid w:val="10F95797"/>
    <w:rsid w:val="11182F76"/>
    <w:rsid w:val="112153AE"/>
    <w:rsid w:val="112C2339"/>
    <w:rsid w:val="115170EF"/>
    <w:rsid w:val="11617FB9"/>
    <w:rsid w:val="116457F1"/>
    <w:rsid w:val="116C5ECE"/>
    <w:rsid w:val="11944E0A"/>
    <w:rsid w:val="11AC1BE1"/>
    <w:rsid w:val="11D20E9D"/>
    <w:rsid w:val="122A7556"/>
    <w:rsid w:val="12363C26"/>
    <w:rsid w:val="126F48CC"/>
    <w:rsid w:val="127355F3"/>
    <w:rsid w:val="12BD245C"/>
    <w:rsid w:val="12C72B29"/>
    <w:rsid w:val="13755530"/>
    <w:rsid w:val="13B1443C"/>
    <w:rsid w:val="140C2170"/>
    <w:rsid w:val="140C7662"/>
    <w:rsid w:val="147D54CE"/>
    <w:rsid w:val="14874664"/>
    <w:rsid w:val="148A53EC"/>
    <w:rsid w:val="14A606DB"/>
    <w:rsid w:val="14E6638F"/>
    <w:rsid w:val="150F29E3"/>
    <w:rsid w:val="15583DC8"/>
    <w:rsid w:val="156A575E"/>
    <w:rsid w:val="157D3DBD"/>
    <w:rsid w:val="15905031"/>
    <w:rsid w:val="15B93289"/>
    <w:rsid w:val="15D76701"/>
    <w:rsid w:val="15DC2C19"/>
    <w:rsid w:val="15E55543"/>
    <w:rsid w:val="15F2378B"/>
    <w:rsid w:val="15F83515"/>
    <w:rsid w:val="162851B5"/>
    <w:rsid w:val="167628AB"/>
    <w:rsid w:val="16BE21D6"/>
    <w:rsid w:val="171E7347"/>
    <w:rsid w:val="173E6AE4"/>
    <w:rsid w:val="175618AE"/>
    <w:rsid w:val="176D414F"/>
    <w:rsid w:val="17EE7D8F"/>
    <w:rsid w:val="181472E6"/>
    <w:rsid w:val="18300F2E"/>
    <w:rsid w:val="18301A46"/>
    <w:rsid w:val="18442827"/>
    <w:rsid w:val="18CA2EB4"/>
    <w:rsid w:val="19341F4D"/>
    <w:rsid w:val="194734DA"/>
    <w:rsid w:val="19692893"/>
    <w:rsid w:val="19A905C1"/>
    <w:rsid w:val="19B5233D"/>
    <w:rsid w:val="1A266BC1"/>
    <w:rsid w:val="1A507839"/>
    <w:rsid w:val="1A7555E0"/>
    <w:rsid w:val="1B0A0C30"/>
    <w:rsid w:val="1B474FB9"/>
    <w:rsid w:val="1B4D6EDA"/>
    <w:rsid w:val="1B661617"/>
    <w:rsid w:val="1BCB6C8A"/>
    <w:rsid w:val="1BD012CE"/>
    <w:rsid w:val="1BDC4B08"/>
    <w:rsid w:val="1BDD02B3"/>
    <w:rsid w:val="1C3D1B09"/>
    <w:rsid w:val="1C4B7A67"/>
    <w:rsid w:val="1C803E12"/>
    <w:rsid w:val="1CC45CDD"/>
    <w:rsid w:val="1CE543D9"/>
    <w:rsid w:val="1CFE39F7"/>
    <w:rsid w:val="1D0B2294"/>
    <w:rsid w:val="1D186842"/>
    <w:rsid w:val="1D45405B"/>
    <w:rsid w:val="1D6E31E5"/>
    <w:rsid w:val="1DBA4138"/>
    <w:rsid w:val="1E3E561C"/>
    <w:rsid w:val="1E5C3042"/>
    <w:rsid w:val="1EBC0122"/>
    <w:rsid w:val="1EFC492E"/>
    <w:rsid w:val="1F091A58"/>
    <w:rsid w:val="1F0C4386"/>
    <w:rsid w:val="1F4B301F"/>
    <w:rsid w:val="1F9F4675"/>
    <w:rsid w:val="1FE67734"/>
    <w:rsid w:val="1FF14092"/>
    <w:rsid w:val="1FFF055B"/>
    <w:rsid w:val="20367403"/>
    <w:rsid w:val="203B63AE"/>
    <w:rsid w:val="20A74F3D"/>
    <w:rsid w:val="20AE0D22"/>
    <w:rsid w:val="20AF589B"/>
    <w:rsid w:val="20CD0D15"/>
    <w:rsid w:val="20F9582B"/>
    <w:rsid w:val="2103768A"/>
    <w:rsid w:val="210A60C1"/>
    <w:rsid w:val="21540D9C"/>
    <w:rsid w:val="216673FF"/>
    <w:rsid w:val="21AE6CB6"/>
    <w:rsid w:val="225478CD"/>
    <w:rsid w:val="229B7D58"/>
    <w:rsid w:val="22AD4D49"/>
    <w:rsid w:val="22C00A93"/>
    <w:rsid w:val="22F65C2D"/>
    <w:rsid w:val="22F67C95"/>
    <w:rsid w:val="233A2B27"/>
    <w:rsid w:val="23793EB4"/>
    <w:rsid w:val="23907B13"/>
    <w:rsid w:val="23D901C5"/>
    <w:rsid w:val="241A7BEF"/>
    <w:rsid w:val="242C366D"/>
    <w:rsid w:val="244F623F"/>
    <w:rsid w:val="24C57CE7"/>
    <w:rsid w:val="24EC5DD1"/>
    <w:rsid w:val="25062BDA"/>
    <w:rsid w:val="252520E1"/>
    <w:rsid w:val="252F1E2A"/>
    <w:rsid w:val="252F2BA8"/>
    <w:rsid w:val="255A2C14"/>
    <w:rsid w:val="256F09B2"/>
    <w:rsid w:val="25A04430"/>
    <w:rsid w:val="25DF7CEE"/>
    <w:rsid w:val="263254AA"/>
    <w:rsid w:val="26AD5E7A"/>
    <w:rsid w:val="26F84FD6"/>
    <w:rsid w:val="27185FAD"/>
    <w:rsid w:val="271E1052"/>
    <w:rsid w:val="272935C4"/>
    <w:rsid w:val="274857A6"/>
    <w:rsid w:val="279128EF"/>
    <w:rsid w:val="27B00694"/>
    <w:rsid w:val="27B626C7"/>
    <w:rsid w:val="2805529C"/>
    <w:rsid w:val="28290CE4"/>
    <w:rsid w:val="283D3617"/>
    <w:rsid w:val="28742493"/>
    <w:rsid w:val="289102DC"/>
    <w:rsid w:val="28D11CFA"/>
    <w:rsid w:val="28E05C4D"/>
    <w:rsid w:val="296206A1"/>
    <w:rsid w:val="2981481E"/>
    <w:rsid w:val="299F622B"/>
    <w:rsid w:val="29A93812"/>
    <w:rsid w:val="29B402BE"/>
    <w:rsid w:val="29B81B89"/>
    <w:rsid w:val="29DE2D65"/>
    <w:rsid w:val="29EF3BB8"/>
    <w:rsid w:val="2A10690D"/>
    <w:rsid w:val="2A111E36"/>
    <w:rsid w:val="2A192EF0"/>
    <w:rsid w:val="2A531D26"/>
    <w:rsid w:val="2A6D709E"/>
    <w:rsid w:val="2A8F5083"/>
    <w:rsid w:val="2AB85B22"/>
    <w:rsid w:val="2ADA4EB0"/>
    <w:rsid w:val="2B372760"/>
    <w:rsid w:val="2B4F4A5B"/>
    <w:rsid w:val="2BBF1D12"/>
    <w:rsid w:val="2BDD5042"/>
    <w:rsid w:val="2BE55328"/>
    <w:rsid w:val="2C254E37"/>
    <w:rsid w:val="2C5C73FB"/>
    <w:rsid w:val="2C6B494D"/>
    <w:rsid w:val="2C813A16"/>
    <w:rsid w:val="2C8715CC"/>
    <w:rsid w:val="2CE94479"/>
    <w:rsid w:val="2CF575DD"/>
    <w:rsid w:val="2D396FC1"/>
    <w:rsid w:val="2D5843B2"/>
    <w:rsid w:val="2D7C1CBC"/>
    <w:rsid w:val="2D825525"/>
    <w:rsid w:val="2DD97B90"/>
    <w:rsid w:val="2E7B62EE"/>
    <w:rsid w:val="2E905A1F"/>
    <w:rsid w:val="2F1F12D7"/>
    <w:rsid w:val="2F212B1B"/>
    <w:rsid w:val="2F31103B"/>
    <w:rsid w:val="2F4B7098"/>
    <w:rsid w:val="2F4D3910"/>
    <w:rsid w:val="2F4E4E7D"/>
    <w:rsid w:val="2F6402D8"/>
    <w:rsid w:val="2F72332C"/>
    <w:rsid w:val="2F7E6CC0"/>
    <w:rsid w:val="2FBB14D7"/>
    <w:rsid w:val="2FE87130"/>
    <w:rsid w:val="2FEF6991"/>
    <w:rsid w:val="2FFC6D08"/>
    <w:rsid w:val="301929AF"/>
    <w:rsid w:val="306A53C9"/>
    <w:rsid w:val="306E2BF2"/>
    <w:rsid w:val="3088055C"/>
    <w:rsid w:val="309E4F8E"/>
    <w:rsid w:val="30C34B2D"/>
    <w:rsid w:val="30D733EF"/>
    <w:rsid w:val="31091AB9"/>
    <w:rsid w:val="31124E12"/>
    <w:rsid w:val="31152298"/>
    <w:rsid w:val="312150AB"/>
    <w:rsid w:val="313302CD"/>
    <w:rsid w:val="313B0111"/>
    <w:rsid w:val="31A92B72"/>
    <w:rsid w:val="31CC4598"/>
    <w:rsid w:val="32100D5B"/>
    <w:rsid w:val="322F554F"/>
    <w:rsid w:val="32376954"/>
    <w:rsid w:val="323D3F92"/>
    <w:rsid w:val="32A04835"/>
    <w:rsid w:val="32AA5E5D"/>
    <w:rsid w:val="32D16548"/>
    <w:rsid w:val="331D26FA"/>
    <w:rsid w:val="333E3A32"/>
    <w:rsid w:val="33510DBE"/>
    <w:rsid w:val="33517B36"/>
    <w:rsid w:val="338C3C55"/>
    <w:rsid w:val="33993F10"/>
    <w:rsid w:val="33C80A9F"/>
    <w:rsid w:val="33F17EB1"/>
    <w:rsid w:val="33FA08A1"/>
    <w:rsid w:val="340430F1"/>
    <w:rsid w:val="340C2A78"/>
    <w:rsid w:val="341120E7"/>
    <w:rsid w:val="341A6A0A"/>
    <w:rsid w:val="342B0711"/>
    <w:rsid w:val="34310D79"/>
    <w:rsid w:val="343B3DBB"/>
    <w:rsid w:val="34D04DC8"/>
    <w:rsid w:val="34FA22BB"/>
    <w:rsid w:val="35626669"/>
    <w:rsid w:val="357729C3"/>
    <w:rsid w:val="35990793"/>
    <w:rsid w:val="35E10B5E"/>
    <w:rsid w:val="35FD1084"/>
    <w:rsid w:val="35FD3B14"/>
    <w:rsid w:val="36220471"/>
    <w:rsid w:val="36392E40"/>
    <w:rsid w:val="36425C77"/>
    <w:rsid w:val="36696D72"/>
    <w:rsid w:val="369628B0"/>
    <w:rsid w:val="36A916E7"/>
    <w:rsid w:val="36AF4501"/>
    <w:rsid w:val="371353C2"/>
    <w:rsid w:val="371F555B"/>
    <w:rsid w:val="373E3831"/>
    <w:rsid w:val="37771F7F"/>
    <w:rsid w:val="37782A9C"/>
    <w:rsid w:val="37B50064"/>
    <w:rsid w:val="37D02395"/>
    <w:rsid w:val="37F736BF"/>
    <w:rsid w:val="383E5F9D"/>
    <w:rsid w:val="38551D4C"/>
    <w:rsid w:val="385D026B"/>
    <w:rsid w:val="38714D29"/>
    <w:rsid w:val="389200D5"/>
    <w:rsid w:val="38A87E0A"/>
    <w:rsid w:val="38CD4542"/>
    <w:rsid w:val="39113E03"/>
    <w:rsid w:val="392767B6"/>
    <w:rsid w:val="392A54B5"/>
    <w:rsid w:val="395B0D57"/>
    <w:rsid w:val="395E319B"/>
    <w:rsid w:val="39926136"/>
    <w:rsid w:val="39A5225E"/>
    <w:rsid w:val="39BB2A9F"/>
    <w:rsid w:val="39E63207"/>
    <w:rsid w:val="3A5310F8"/>
    <w:rsid w:val="3A970136"/>
    <w:rsid w:val="3AA62AC0"/>
    <w:rsid w:val="3AAF1923"/>
    <w:rsid w:val="3B2F23D0"/>
    <w:rsid w:val="3B8E7DD7"/>
    <w:rsid w:val="3BAA4254"/>
    <w:rsid w:val="3BF53FA7"/>
    <w:rsid w:val="3C162BD1"/>
    <w:rsid w:val="3C407197"/>
    <w:rsid w:val="3C693B19"/>
    <w:rsid w:val="3D1B534C"/>
    <w:rsid w:val="3DCC11BC"/>
    <w:rsid w:val="3DD519AF"/>
    <w:rsid w:val="3E0F3390"/>
    <w:rsid w:val="3E1753C7"/>
    <w:rsid w:val="3E432AAE"/>
    <w:rsid w:val="3E587BDC"/>
    <w:rsid w:val="3E715474"/>
    <w:rsid w:val="3E8E2328"/>
    <w:rsid w:val="3F182C56"/>
    <w:rsid w:val="3F257F53"/>
    <w:rsid w:val="3F870465"/>
    <w:rsid w:val="3FCD34EB"/>
    <w:rsid w:val="3FE93E94"/>
    <w:rsid w:val="3FEF559F"/>
    <w:rsid w:val="3FFE44D9"/>
    <w:rsid w:val="404203D7"/>
    <w:rsid w:val="409A272E"/>
    <w:rsid w:val="40D41666"/>
    <w:rsid w:val="40D9123A"/>
    <w:rsid w:val="412000C8"/>
    <w:rsid w:val="41611C76"/>
    <w:rsid w:val="41F036CF"/>
    <w:rsid w:val="4232655E"/>
    <w:rsid w:val="423F1080"/>
    <w:rsid w:val="426D315F"/>
    <w:rsid w:val="428F5873"/>
    <w:rsid w:val="42AD60AD"/>
    <w:rsid w:val="42F111FC"/>
    <w:rsid w:val="432C76C6"/>
    <w:rsid w:val="43351A09"/>
    <w:rsid w:val="43386FDC"/>
    <w:rsid w:val="43693E7D"/>
    <w:rsid w:val="43840BF3"/>
    <w:rsid w:val="43920D8B"/>
    <w:rsid w:val="43CF48BB"/>
    <w:rsid w:val="4451145C"/>
    <w:rsid w:val="445464F8"/>
    <w:rsid w:val="446C2E6B"/>
    <w:rsid w:val="447141EE"/>
    <w:rsid w:val="448A32AC"/>
    <w:rsid w:val="449944E9"/>
    <w:rsid w:val="44A614FF"/>
    <w:rsid w:val="450A3D3A"/>
    <w:rsid w:val="45163C51"/>
    <w:rsid w:val="45316BB2"/>
    <w:rsid w:val="454C59E8"/>
    <w:rsid w:val="45535B1C"/>
    <w:rsid w:val="456F68F7"/>
    <w:rsid w:val="45A7539A"/>
    <w:rsid w:val="45F502D4"/>
    <w:rsid w:val="460743C1"/>
    <w:rsid w:val="46351C88"/>
    <w:rsid w:val="46455CDF"/>
    <w:rsid w:val="466630EA"/>
    <w:rsid w:val="466A58CB"/>
    <w:rsid w:val="46B4227E"/>
    <w:rsid w:val="46D92D4F"/>
    <w:rsid w:val="470609F2"/>
    <w:rsid w:val="47075DCC"/>
    <w:rsid w:val="473A212D"/>
    <w:rsid w:val="47422493"/>
    <w:rsid w:val="47664DE0"/>
    <w:rsid w:val="4780636A"/>
    <w:rsid w:val="47A67C0A"/>
    <w:rsid w:val="47BA3151"/>
    <w:rsid w:val="483D0E2E"/>
    <w:rsid w:val="48462CB4"/>
    <w:rsid w:val="4851078A"/>
    <w:rsid w:val="48693111"/>
    <w:rsid w:val="48765122"/>
    <w:rsid w:val="48815749"/>
    <w:rsid w:val="4894037D"/>
    <w:rsid w:val="48974AD1"/>
    <w:rsid w:val="489A7EED"/>
    <w:rsid w:val="48A95E3B"/>
    <w:rsid w:val="48AD4C8A"/>
    <w:rsid w:val="48C6166E"/>
    <w:rsid w:val="48CC18F2"/>
    <w:rsid w:val="49206E0D"/>
    <w:rsid w:val="49334FD9"/>
    <w:rsid w:val="49423D2E"/>
    <w:rsid w:val="498B7A7D"/>
    <w:rsid w:val="499B7372"/>
    <w:rsid w:val="49B70F3F"/>
    <w:rsid w:val="49EB5E87"/>
    <w:rsid w:val="49FB6C2E"/>
    <w:rsid w:val="4A143595"/>
    <w:rsid w:val="4A893692"/>
    <w:rsid w:val="4AC36BA3"/>
    <w:rsid w:val="4AE922E8"/>
    <w:rsid w:val="4AF427B6"/>
    <w:rsid w:val="4AF56EDE"/>
    <w:rsid w:val="4AFF21FB"/>
    <w:rsid w:val="4B221F0E"/>
    <w:rsid w:val="4B985ABC"/>
    <w:rsid w:val="4BAB45FA"/>
    <w:rsid w:val="4BC92943"/>
    <w:rsid w:val="4BDC0C2B"/>
    <w:rsid w:val="4BEC7F7D"/>
    <w:rsid w:val="4BED4C5F"/>
    <w:rsid w:val="4C0560C1"/>
    <w:rsid w:val="4C126E65"/>
    <w:rsid w:val="4C1800C1"/>
    <w:rsid w:val="4C1C1F8D"/>
    <w:rsid w:val="4C623ED1"/>
    <w:rsid w:val="4C9C7C7B"/>
    <w:rsid w:val="4CE216E4"/>
    <w:rsid w:val="4D956BD4"/>
    <w:rsid w:val="4D990003"/>
    <w:rsid w:val="4DAA10A4"/>
    <w:rsid w:val="4DE02876"/>
    <w:rsid w:val="4E1C6E78"/>
    <w:rsid w:val="4E2F6400"/>
    <w:rsid w:val="4E364146"/>
    <w:rsid w:val="4E5B4996"/>
    <w:rsid w:val="4E642256"/>
    <w:rsid w:val="4E794E79"/>
    <w:rsid w:val="4E7C3473"/>
    <w:rsid w:val="4E816CDB"/>
    <w:rsid w:val="4EBA6428"/>
    <w:rsid w:val="4EBC4EA3"/>
    <w:rsid w:val="4ED218A3"/>
    <w:rsid w:val="4EE6251D"/>
    <w:rsid w:val="4EF76274"/>
    <w:rsid w:val="4F120374"/>
    <w:rsid w:val="4F631640"/>
    <w:rsid w:val="4F6D477C"/>
    <w:rsid w:val="4FB0589F"/>
    <w:rsid w:val="4FBB2493"/>
    <w:rsid w:val="4FD33566"/>
    <w:rsid w:val="4FF52EC4"/>
    <w:rsid w:val="50456157"/>
    <w:rsid w:val="507E1724"/>
    <w:rsid w:val="508B3DBF"/>
    <w:rsid w:val="509268F9"/>
    <w:rsid w:val="509E3508"/>
    <w:rsid w:val="50E2655F"/>
    <w:rsid w:val="50FD3623"/>
    <w:rsid w:val="510425C5"/>
    <w:rsid w:val="5119144D"/>
    <w:rsid w:val="513628D6"/>
    <w:rsid w:val="51392DEC"/>
    <w:rsid w:val="513A5EC1"/>
    <w:rsid w:val="514531EA"/>
    <w:rsid w:val="517B2107"/>
    <w:rsid w:val="51AA35DB"/>
    <w:rsid w:val="51B61491"/>
    <w:rsid w:val="51B84B02"/>
    <w:rsid w:val="51D87C8D"/>
    <w:rsid w:val="51EB7999"/>
    <w:rsid w:val="520B0E34"/>
    <w:rsid w:val="523301DD"/>
    <w:rsid w:val="53206C83"/>
    <w:rsid w:val="53351712"/>
    <w:rsid w:val="533E374D"/>
    <w:rsid w:val="535C040E"/>
    <w:rsid w:val="53750A9B"/>
    <w:rsid w:val="537E15BF"/>
    <w:rsid w:val="53B762F2"/>
    <w:rsid w:val="53C52089"/>
    <w:rsid w:val="5417676A"/>
    <w:rsid w:val="542A5C98"/>
    <w:rsid w:val="545665E0"/>
    <w:rsid w:val="545D2117"/>
    <w:rsid w:val="548369E6"/>
    <w:rsid w:val="548E2DCF"/>
    <w:rsid w:val="54EE69EB"/>
    <w:rsid w:val="550D6E75"/>
    <w:rsid w:val="55800F46"/>
    <w:rsid w:val="55FA48E5"/>
    <w:rsid w:val="56156687"/>
    <w:rsid w:val="568F46B9"/>
    <w:rsid w:val="569723C6"/>
    <w:rsid w:val="569C381C"/>
    <w:rsid w:val="56F95FA8"/>
    <w:rsid w:val="572215B9"/>
    <w:rsid w:val="57541E99"/>
    <w:rsid w:val="575C1F4C"/>
    <w:rsid w:val="57934B2C"/>
    <w:rsid w:val="579D536B"/>
    <w:rsid w:val="57CB0358"/>
    <w:rsid w:val="57EA0D02"/>
    <w:rsid w:val="57FB4651"/>
    <w:rsid w:val="581E35B5"/>
    <w:rsid w:val="581F37ED"/>
    <w:rsid w:val="58412267"/>
    <w:rsid w:val="5853259A"/>
    <w:rsid w:val="587E7611"/>
    <w:rsid w:val="58AE4B70"/>
    <w:rsid w:val="58C95E12"/>
    <w:rsid w:val="58F9770B"/>
    <w:rsid w:val="590429E2"/>
    <w:rsid w:val="5916087A"/>
    <w:rsid w:val="595A4F8D"/>
    <w:rsid w:val="595C1326"/>
    <w:rsid w:val="5960593D"/>
    <w:rsid w:val="59F316C9"/>
    <w:rsid w:val="5A036E46"/>
    <w:rsid w:val="5A081A55"/>
    <w:rsid w:val="5A1A190F"/>
    <w:rsid w:val="5A9B2D32"/>
    <w:rsid w:val="5B264E92"/>
    <w:rsid w:val="5B28752C"/>
    <w:rsid w:val="5B4F547E"/>
    <w:rsid w:val="5B827EC5"/>
    <w:rsid w:val="5B897577"/>
    <w:rsid w:val="5BA879BF"/>
    <w:rsid w:val="5BB205A0"/>
    <w:rsid w:val="5BD35D17"/>
    <w:rsid w:val="5BF24B32"/>
    <w:rsid w:val="5C584A40"/>
    <w:rsid w:val="5C886F6E"/>
    <w:rsid w:val="5CA40764"/>
    <w:rsid w:val="5CA922B4"/>
    <w:rsid w:val="5D021EC6"/>
    <w:rsid w:val="5D092F30"/>
    <w:rsid w:val="5DAF4487"/>
    <w:rsid w:val="5DB72AF4"/>
    <w:rsid w:val="5DC5325C"/>
    <w:rsid w:val="5E337655"/>
    <w:rsid w:val="5E397057"/>
    <w:rsid w:val="5E454830"/>
    <w:rsid w:val="5E7167CF"/>
    <w:rsid w:val="5E8D0EBA"/>
    <w:rsid w:val="5E956FD9"/>
    <w:rsid w:val="5EFF662C"/>
    <w:rsid w:val="5F2D7732"/>
    <w:rsid w:val="5FC621D1"/>
    <w:rsid w:val="602A19A2"/>
    <w:rsid w:val="604451F0"/>
    <w:rsid w:val="6045223F"/>
    <w:rsid w:val="60962704"/>
    <w:rsid w:val="609E048F"/>
    <w:rsid w:val="6108496B"/>
    <w:rsid w:val="61467271"/>
    <w:rsid w:val="615354E8"/>
    <w:rsid w:val="618A1630"/>
    <w:rsid w:val="61993135"/>
    <w:rsid w:val="61E22378"/>
    <w:rsid w:val="61E40D66"/>
    <w:rsid w:val="61F632B1"/>
    <w:rsid w:val="62800CC1"/>
    <w:rsid w:val="62A36850"/>
    <w:rsid w:val="62A8188B"/>
    <w:rsid w:val="62E55633"/>
    <w:rsid w:val="63007FD0"/>
    <w:rsid w:val="63371A31"/>
    <w:rsid w:val="635A6BFF"/>
    <w:rsid w:val="63773918"/>
    <w:rsid w:val="63830B2E"/>
    <w:rsid w:val="63AA5232"/>
    <w:rsid w:val="63BF40D6"/>
    <w:rsid w:val="63D23949"/>
    <w:rsid w:val="642F5825"/>
    <w:rsid w:val="643663DD"/>
    <w:rsid w:val="64627EF0"/>
    <w:rsid w:val="64DA2F67"/>
    <w:rsid w:val="64DB3758"/>
    <w:rsid w:val="64EF6B6A"/>
    <w:rsid w:val="651B1EB0"/>
    <w:rsid w:val="651E15D5"/>
    <w:rsid w:val="652C28D7"/>
    <w:rsid w:val="653B4950"/>
    <w:rsid w:val="658921A3"/>
    <w:rsid w:val="66021487"/>
    <w:rsid w:val="660A580A"/>
    <w:rsid w:val="662901DB"/>
    <w:rsid w:val="663159A3"/>
    <w:rsid w:val="66983164"/>
    <w:rsid w:val="66B134B7"/>
    <w:rsid w:val="66BD6F7D"/>
    <w:rsid w:val="66C16522"/>
    <w:rsid w:val="66DE5A4A"/>
    <w:rsid w:val="67037B10"/>
    <w:rsid w:val="674170AE"/>
    <w:rsid w:val="67870036"/>
    <w:rsid w:val="67B130F8"/>
    <w:rsid w:val="67B42651"/>
    <w:rsid w:val="67B657F0"/>
    <w:rsid w:val="67CA2343"/>
    <w:rsid w:val="67CA36AF"/>
    <w:rsid w:val="67CC2A37"/>
    <w:rsid w:val="683F1E6C"/>
    <w:rsid w:val="68451259"/>
    <w:rsid w:val="684D24AA"/>
    <w:rsid w:val="68EE112E"/>
    <w:rsid w:val="690359D6"/>
    <w:rsid w:val="69880E89"/>
    <w:rsid w:val="69905E3F"/>
    <w:rsid w:val="69ED1D7F"/>
    <w:rsid w:val="69F1144D"/>
    <w:rsid w:val="6A4E4D7B"/>
    <w:rsid w:val="6AB471DA"/>
    <w:rsid w:val="6AD360C7"/>
    <w:rsid w:val="6AF62438"/>
    <w:rsid w:val="6B361121"/>
    <w:rsid w:val="6B5B69A5"/>
    <w:rsid w:val="6B7026A3"/>
    <w:rsid w:val="6B882474"/>
    <w:rsid w:val="6BDC0550"/>
    <w:rsid w:val="6CAB2B65"/>
    <w:rsid w:val="6CEB1115"/>
    <w:rsid w:val="6D0970CA"/>
    <w:rsid w:val="6D7246B3"/>
    <w:rsid w:val="6DB95521"/>
    <w:rsid w:val="6DBE0181"/>
    <w:rsid w:val="6E032E11"/>
    <w:rsid w:val="6E2518B4"/>
    <w:rsid w:val="6E471088"/>
    <w:rsid w:val="6E7D7067"/>
    <w:rsid w:val="6EAD7F2D"/>
    <w:rsid w:val="6EE661B0"/>
    <w:rsid w:val="6F181B9B"/>
    <w:rsid w:val="6F193617"/>
    <w:rsid w:val="6F411AFF"/>
    <w:rsid w:val="6F523469"/>
    <w:rsid w:val="6F5935CD"/>
    <w:rsid w:val="6FE77B37"/>
    <w:rsid w:val="6FF705CB"/>
    <w:rsid w:val="7019253F"/>
    <w:rsid w:val="705478DF"/>
    <w:rsid w:val="7071314B"/>
    <w:rsid w:val="70A27DBB"/>
    <w:rsid w:val="70B26904"/>
    <w:rsid w:val="70C57CAD"/>
    <w:rsid w:val="70CA4961"/>
    <w:rsid w:val="70CF7FF0"/>
    <w:rsid w:val="70D4528D"/>
    <w:rsid w:val="70FA226D"/>
    <w:rsid w:val="71086DC7"/>
    <w:rsid w:val="71CE6595"/>
    <w:rsid w:val="7222299C"/>
    <w:rsid w:val="723206DA"/>
    <w:rsid w:val="725B7AB2"/>
    <w:rsid w:val="72904641"/>
    <w:rsid w:val="72AB4B0E"/>
    <w:rsid w:val="72CA0103"/>
    <w:rsid w:val="72CB03A1"/>
    <w:rsid w:val="72D64C0A"/>
    <w:rsid w:val="73027C89"/>
    <w:rsid w:val="730572F5"/>
    <w:rsid w:val="735B79A8"/>
    <w:rsid w:val="73B726D3"/>
    <w:rsid w:val="73C05EBC"/>
    <w:rsid w:val="742333AE"/>
    <w:rsid w:val="74686AA8"/>
    <w:rsid w:val="74881E77"/>
    <w:rsid w:val="74BF5CE3"/>
    <w:rsid w:val="74F16C95"/>
    <w:rsid w:val="74F45E98"/>
    <w:rsid w:val="751417F5"/>
    <w:rsid w:val="75713A1D"/>
    <w:rsid w:val="759D4571"/>
    <w:rsid w:val="75B94E29"/>
    <w:rsid w:val="75C80449"/>
    <w:rsid w:val="75D4480F"/>
    <w:rsid w:val="75F76B70"/>
    <w:rsid w:val="769A6D9B"/>
    <w:rsid w:val="76B558A3"/>
    <w:rsid w:val="76B76861"/>
    <w:rsid w:val="76F9531E"/>
    <w:rsid w:val="77314512"/>
    <w:rsid w:val="774F089D"/>
    <w:rsid w:val="77954B75"/>
    <w:rsid w:val="77B9255D"/>
    <w:rsid w:val="77E0248C"/>
    <w:rsid w:val="77E43CB3"/>
    <w:rsid w:val="77F413CA"/>
    <w:rsid w:val="77F612D4"/>
    <w:rsid w:val="781D1429"/>
    <w:rsid w:val="784F1A52"/>
    <w:rsid w:val="7861146D"/>
    <w:rsid w:val="78722AC0"/>
    <w:rsid w:val="78A033A2"/>
    <w:rsid w:val="78B07898"/>
    <w:rsid w:val="78B4205A"/>
    <w:rsid w:val="790143BA"/>
    <w:rsid w:val="79E545EF"/>
    <w:rsid w:val="7A245046"/>
    <w:rsid w:val="7A3A36C9"/>
    <w:rsid w:val="7A4878EB"/>
    <w:rsid w:val="7AF35E0E"/>
    <w:rsid w:val="7B0962AA"/>
    <w:rsid w:val="7B5F72E3"/>
    <w:rsid w:val="7C367FA4"/>
    <w:rsid w:val="7CB52A37"/>
    <w:rsid w:val="7CB71996"/>
    <w:rsid w:val="7CC35E8A"/>
    <w:rsid w:val="7CF257A8"/>
    <w:rsid w:val="7D440864"/>
    <w:rsid w:val="7D587768"/>
    <w:rsid w:val="7D764E0E"/>
    <w:rsid w:val="7DA97107"/>
    <w:rsid w:val="7DE569C4"/>
    <w:rsid w:val="7DF76526"/>
    <w:rsid w:val="7DFE33BD"/>
    <w:rsid w:val="7E3908A6"/>
    <w:rsid w:val="7E3E4045"/>
    <w:rsid w:val="7E6A65D4"/>
    <w:rsid w:val="7E7C72E0"/>
    <w:rsid w:val="7E970168"/>
    <w:rsid w:val="7EEB31EF"/>
    <w:rsid w:val="7F006C4C"/>
    <w:rsid w:val="7F21503E"/>
    <w:rsid w:val="7F250074"/>
    <w:rsid w:val="7F2F1CB8"/>
    <w:rsid w:val="7F420DAD"/>
    <w:rsid w:val="7F9947BC"/>
    <w:rsid w:val="7FB12C37"/>
    <w:rsid w:val="7FB44C49"/>
    <w:rsid w:val="7FC95C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qFormat="1" w:unhideWhenUsed="0" w:uiPriority="0" w:semiHidden="0"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qFormat="1" w:uiPriority="99" w:semiHidden="0" w:name="table of authorities"/>
    <w:lsdException w:uiPriority="99" w:name="macro"/>
    <w:lsdException w:qFormat="1" w:unhideWhenUsed="0" w:uiPriority="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uiPriority="99" w:name="Body Text Indent 2"/>
    <w:lsdException w:qFormat="1" w:unhideWhenUsed="0" w:uiPriority="0" w:semiHidden="0"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link w:val="32"/>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3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qFormat/>
    <w:uiPriority w:val="0"/>
    <w:pPr>
      <w:keepNext/>
      <w:keepLines/>
      <w:spacing w:before="260" w:after="260" w:line="416" w:lineRule="auto"/>
      <w:outlineLvl w:val="2"/>
    </w:pPr>
    <w:rPr>
      <w:b/>
      <w:bCs/>
      <w:sz w:val="32"/>
      <w:szCs w:val="32"/>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footer"/>
    <w:basedOn w:val="1"/>
    <w:next w:val="3"/>
    <w:link w:val="30"/>
    <w:unhideWhenUsed/>
    <w:qFormat/>
    <w:uiPriority w:val="99"/>
    <w:pPr>
      <w:tabs>
        <w:tab w:val="center" w:pos="4153"/>
        <w:tab w:val="right" w:pos="8306"/>
      </w:tabs>
      <w:snapToGrid w:val="0"/>
      <w:jc w:val="left"/>
    </w:pPr>
    <w:rPr>
      <w:sz w:val="18"/>
      <w:szCs w:val="18"/>
    </w:rPr>
  </w:style>
  <w:style w:type="paragraph" w:styleId="3">
    <w:name w:val="Body Text"/>
    <w:basedOn w:val="1"/>
    <w:next w:val="1"/>
    <w:qFormat/>
    <w:uiPriority w:val="0"/>
    <w:pPr>
      <w:spacing w:after="120" w:afterLines="0"/>
    </w:pPr>
  </w:style>
  <w:style w:type="paragraph" w:styleId="7">
    <w:name w:val="table of authorities"/>
    <w:basedOn w:val="1"/>
    <w:next w:val="1"/>
    <w:unhideWhenUsed/>
    <w:qFormat/>
    <w:uiPriority w:val="99"/>
    <w:pPr>
      <w:ind w:left="420" w:leftChars="200"/>
    </w:pPr>
  </w:style>
  <w:style w:type="paragraph" w:styleId="8">
    <w:name w:val="Document Map"/>
    <w:basedOn w:val="1"/>
    <w:link w:val="31"/>
    <w:semiHidden/>
    <w:unhideWhenUsed/>
    <w:qFormat/>
    <w:uiPriority w:val="99"/>
    <w:rPr>
      <w:rFonts w:ascii="宋体" w:eastAsia="宋体"/>
      <w:sz w:val="18"/>
      <w:szCs w:val="18"/>
    </w:rPr>
  </w:style>
  <w:style w:type="paragraph" w:styleId="9">
    <w:name w:val="toa heading"/>
    <w:basedOn w:val="1"/>
    <w:next w:val="1"/>
    <w:semiHidden/>
    <w:qFormat/>
    <w:uiPriority w:val="0"/>
    <w:pPr>
      <w:spacing w:before="120"/>
    </w:pPr>
    <w:rPr>
      <w:rFonts w:ascii="Arial" w:hAnsi="Arial" w:cs="Arial"/>
      <w:sz w:val="24"/>
      <w:szCs w:val="24"/>
    </w:rPr>
  </w:style>
  <w:style w:type="paragraph" w:styleId="10">
    <w:name w:val="Body Text 3"/>
    <w:basedOn w:val="1"/>
    <w:next w:val="11"/>
    <w:qFormat/>
    <w:uiPriority w:val="0"/>
    <w:pPr>
      <w:jc w:val="center"/>
      <w:outlineLvl w:val="0"/>
    </w:pPr>
    <w:rPr>
      <w:rFonts w:ascii="楷体_GB2312"/>
      <w:sz w:val="21"/>
      <w:szCs w:val="20"/>
    </w:rPr>
  </w:style>
  <w:style w:type="paragraph" w:styleId="11">
    <w:name w:val="toc 8"/>
    <w:basedOn w:val="1"/>
    <w:next w:val="1"/>
    <w:qFormat/>
    <w:uiPriority w:val="0"/>
    <w:pPr>
      <w:spacing w:line="360" w:lineRule="auto"/>
      <w:ind w:left="2940" w:leftChars="1400" w:firstLine="480" w:firstLineChars="200"/>
    </w:pPr>
    <w:rPr>
      <w:rFonts w:ascii="宋体"/>
      <w:sz w:val="24"/>
      <w:szCs w:val="24"/>
    </w:rPr>
  </w:style>
  <w:style w:type="paragraph" w:styleId="12">
    <w:name w:val="Body Text Indent"/>
    <w:basedOn w:val="1"/>
    <w:next w:val="13"/>
    <w:qFormat/>
    <w:uiPriority w:val="0"/>
    <w:pPr>
      <w:spacing w:line="500" w:lineRule="exact"/>
      <w:ind w:left="1588" w:leftChars="832" w:firstLine="433" w:firstLineChars="196"/>
    </w:pPr>
    <w:rPr>
      <w:sz w:val="24"/>
    </w:rPr>
  </w:style>
  <w:style w:type="paragraph" w:styleId="13">
    <w:name w:val="envelope return"/>
    <w:basedOn w:val="1"/>
    <w:qFormat/>
    <w:uiPriority w:val="0"/>
    <w:pPr>
      <w:snapToGrid w:val="0"/>
    </w:pPr>
    <w:rPr>
      <w:rFonts w:ascii="Arial" w:hAnsi="Arial" w:cs="Arial"/>
      <w:sz w:val="21"/>
      <w:szCs w:val="24"/>
    </w:rPr>
  </w:style>
  <w:style w:type="paragraph" w:styleId="14">
    <w:name w:val="Plain Text"/>
    <w:basedOn w:val="1"/>
    <w:qFormat/>
    <w:uiPriority w:val="0"/>
    <w:rPr>
      <w:rFonts w:ascii="宋体" w:hAnsi="Courier New" w:cs="Courier New"/>
      <w:szCs w:val="21"/>
    </w:rPr>
  </w:style>
  <w:style w:type="paragraph" w:styleId="15">
    <w:name w:val="header"/>
    <w:basedOn w:val="1"/>
    <w:link w:val="29"/>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Subtitle"/>
    <w:basedOn w:val="1"/>
    <w:next w:val="1"/>
    <w:link w:val="35"/>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17">
    <w:name w:val="Body Text Indent 3"/>
    <w:basedOn w:val="1"/>
    <w:qFormat/>
    <w:uiPriority w:val="0"/>
    <w:pPr>
      <w:keepNext w:val="0"/>
      <w:keepLines w:val="0"/>
      <w:widowControl/>
      <w:suppressLineNumbers w:val="0"/>
      <w:snapToGrid w:val="0"/>
      <w:spacing w:line="600" w:lineRule="exact"/>
      <w:ind w:left="646" w:leftChars="323" w:firstLine="643" w:firstLineChars="200"/>
      <w:jc w:val="both"/>
    </w:pPr>
    <w:rPr>
      <w:rFonts w:hint="default" w:ascii="仿宋_GB2312" w:hAnsi="Times New Roman" w:eastAsia="仿宋_GB2312" w:cs="Times New Roman"/>
      <w:kern w:val="2"/>
      <w:sz w:val="32"/>
      <w:szCs w:val="32"/>
      <w:lang w:val="en-US" w:eastAsia="zh-CN" w:bidi="ar"/>
    </w:rPr>
  </w:style>
  <w:style w:type="paragraph" w:styleId="18">
    <w:name w:val="Normal (Web)"/>
    <w:basedOn w:val="1"/>
    <w:qFormat/>
    <w:uiPriority w:val="0"/>
    <w:pPr>
      <w:widowControl/>
      <w:spacing w:before="100" w:beforeAutospacing="1" w:after="100" w:afterAutospacing="1"/>
      <w:ind w:left="0" w:right="0"/>
      <w:jc w:val="left"/>
    </w:pPr>
    <w:rPr>
      <w:rFonts w:ascii="宋体" w:hAnsi="宋体" w:eastAsia="宋体" w:cs="宋体"/>
      <w:kern w:val="0"/>
      <w:sz w:val="24"/>
      <w:szCs w:val="24"/>
      <w:lang w:val="en-US" w:eastAsia="zh-CN" w:bidi="ar"/>
    </w:rPr>
  </w:style>
  <w:style w:type="paragraph" w:styleId="19">
    <w:name w:val="Title"/>
    <w:basedOn w:val="1"/>
    <w:next w:val="1"/>
    <w:link w:val="34"/>
    <w:qFormat/>
    <w:uiPriority w:val="10"/>
    <w:pPr>
      <w:spacing w:before="240" w:after="60"/>
      <w:jc w:val="center"/>
      <w:outlineLvl w:val="0"/>
    </w:pPr>
    <w:rPr>
      <w:rFonts w:eastAsia="宋体" w:asciiTheme="majorHAnsi" w:hAnsiTheme="majorHAnsi" w:cstheme="majorBidi"/>
      <w:b/>
      <w:bCs/>
      <w:sz w:val="32"/>
      <w:szCs w:val="32"/>
    </w:rPr>
  </w:style>
  <w:style w:type="paragraph" w:styleId="20">
    <w:name w:val="Body Text First Indent"/>
    <w:basedOn w:val="3"/>
    <w:next w:val="21"/>
    <w:qFormat/>
    <w:uiPriority w:val="0"/>
    <w:pPr>
      <w:tabs>
        <w:tab w:val="left" w:pos="0"/>
        <w:tab w:val="left" w:pos="993"/>
        <w:tab w:val="left" w:pos="1134"/>
      </w:tabs>
      <w:ind w:firstLine="420" w:firstLineChars="100"/>
    </w:pPr>
    <w:rPr>
      <w:rFonts w:ascii="宋体" w:hAnsi="宋体" w:cs="Times New Roman"/>
      <w:sz w:val="24"/>
      <w:szCs w:val="24"/>
    </w:rPr>
  </w:style>
  <w:style w:type="paragraph" w:styleId="21">
    <w:name w:val="Body Text First Indent 2"/>
    <w:basedOn w:val="12"/>
    <w:next w:val="1"/>
    <w:qFormat/>
    <w:uiPriority w:val="0"/>
    <w:pPr>
      <w:spacing w:after="120" w:line="240" w:lineRule="auto"/>
      <w:ind w:left="200" w:leftChars="200" w:firstLine="200" w:firstLineChars="200"/>
    </w:pPr>
  </w:style>
  <w:style w:type="table" w:styleId="23">
    <w:name w:val="Table Grid"/>
    <w:basedOn w:val="2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qFormat/>
    <w:uiPriority w:val="0"/>
    <w:rPr>
      <w:color w:val="0000FF"/>
      <w:u w:val="single"/>
    </w:rPr>
  </w:style>
  <w:style w:type="paragraph" w:customStyle="1" w:styleId="26">
    <w:name w:val="样式 首行缩进:  2 字符"/>
    <w:basedOn w:val="1"/>
    <w:qFormat/>
    <w:uiPriority w:val="0"/>
    <w:pPr>
      <w:spacing w:line="360" w:lineRule="auto"/>
      <w:ind w:firstLine="480" w:firstLineChars="200"/>
      <w:jc w:val="left"/>
    </w:pPr>
    <w:rPr>
      <w:rFonts w:ascii="宋体" w:hAnsi="宋体" w:cs="宋体"/>
      <w:color w:val="000000"/>
      <w:sz w:val="24"/>
      <w:szCs w:val="20"/>
    </w:rPr>
  </w:style>
  <w:style w:type="paragraph" w:customStyle="1" w:styleId="27">
    <w:name w:val="列出段落11"/>
    <w:basedOn w:val="1"/>
    <w:qFormat/>
    <w:uiPriority w:val="0"/>
    <w:pPr>
      <w:ind w:firstLine="420" w:firstLineChars="200"/>
    </w:pPr>
    <w:rPr>
      <w:rFonts w:ascii="Calibri" w:hAnsi="Calibri"/>
    </w:rPr>
  </w:style>
  <w:style w:type="paragraph" w:customStyle="1" w:styleId="28">
    <w:name w:val="列出段落1"/>
    <w:basedOn w:val="1"/>
    <w:qFormat/>
    <w:uiPriority w:val="99"/>
    <w:pPr>
      <w:ind w:firstLine="420" w:firstLineChars="200"/>
    </w:pPr>
  </w:style>
  <w:style w:type="character" w:customStyle="1" w:styleId="29">
    <w:name w:val="页眉 字符"/>
    <w:basedOn w:val="24"/>
    <w:link w:val="15"/>
    <w:qFormat/>
    <w:uiPriority w:val="99"/>
    <w:rPr>
      <w:sz w:val="18"/>
      <w:szCs w:val="18"/>
    </w:rPr>
  </w:style>
  <w:style w:type="character" w:customStyle="1" w:styleId="30">
    <w:name w:val="页脚 字符"/>
    <w:basedOn w:val="24"/>
    <w:link w:val="2"/>
    <w:qFormat/>
    <w:uiPriority w:val="99"/>
    <w:rPr>
      <w:sz w:val="18"/>
      <w:szCs w:val="18"/>
    </w:rPr>
  </w:style>
  <w:style w:type="character" w:customStyle="1" w:styleId="31">
    <w:name w:val="文档结构图 字符"/>
    <w:basedOn w:val="24"/>
    <w:link w:val="8"/>
    <w:semiHidden/>
    <w:qFormat/>
    <w:uiPriority w:val="99"/>
    <w:rPr>
      <w:rFonts w:ascii="宋体" w:eastAsia="宋体"/>
      <w:sz w:val="18"/>
      <w:szCs w:val="18"/>
    </w:rPr>
  </w:style>
  <w:style w:type="character" w:customStyle="1" w:styleId="32">
    <w:name w:val="标题 1 字符"/>
    <w:basedOn w:val="24"/>
    <w:link w:val="4"/>
    <w:qFormat/>
    <w:uiPriority w:val="9"/>
    <w:rPr>
      <w:b/>
      <w:bCs/>
      <w:kern w:val="44"/>
      <w:sz w:val="44"/>
      <w:szCs w:val="44"/>
    </w:rPr>
  </w:style>
  <w:style w:type="character" w:customStyle="1" w:styleId="33">
    <w:name w:val="标题 2 字符"/>
    <w:basedOn w:val="24"/>
    <w:link w:val="5"/>
    <w:qFormat/>
    <w:uiPriority w:val="9"/>
    <w:rPr>
      <w:rFonts w:asciiTheme="majorHAnsi" w:hAnsiTheme="majorHAnsi" w:eastAsiaTheme="majorEastAsia" w:cstheme="majorBidi"/>
      <w:b/>
      <w:bCs/>
      <w:sz w:val="32"/>
      <w:szCs w:val="32"/>
    </w:rPr>
  </w:style>
  <w:style w:type="character" w:customStyle="1" w:styleId="34">
    <w:name w:val="标题 字符"/>
    <w:basedOn w:val="24"/>
    <w:link w:val="19"/>
    <w:qFormat/>
    <w:uiPriority w:val="10"/>
    <w:rPr>
      <w:rFonts w:eastAsia="宋体" w:asciiTheme="majorHAnsi" w:hAnsiTheme="majorHAnsi" w:cstheme="majorBidi"/>
      <w:b/>
      <w:bCs/>
      <w:sz w:val="32"/>
      <w:szCs w:val="32"/>
    </w:rPr>
  </w:style>
  <w:style w:type="character" w:customStyle="1" w:styleId="35">
    <w:name w:val="副标题 字符"/>
    <w:basedOn w:val="24"/>
    <w:link w:val="16"/>
    <w:qFormat/>
    <w:uiPriority w:val="11"/>
    <w:rPr>
      <w:rFonts w:eastAsia="宋体" w:asciiTheme="majorHAnsi" w:hAnsiTheme="majorHAnsi" w:cstheme="majorBidi"/>
      <w:b/>
      <w:bCs/>
      <w:kern w:val="28"/>
      <w:sz w:val="32"/>
      <w:szCs w:val="32"/>
    </w:rPr>
  </w:style>
  <w:style w:type="paragraph" w:customStyle="1" w:styleId="36">
    <w:name w:val="Table Paragraph"/>
    <w:basedOn w:val="1"/>
    <w:qFormat/>
    <w:uiPriority w:val="1"/>
    <w:rPr>
      <w:rFonts w:ascii="宋体" w:hAnsi="宋体" w:eastAsia="宋体" w:cs="宋体"/>
      <w:lang w:val="zh-CN" w:eastAsia="zh-CN" w:bidi="zh-CN"/>
    </w:rPr>
  </w:style>
  <w:style w:type="paragraph" w:styleId="37">
    <w:name w:val="List Paragraph"/>
    <w:basedOn w:val="1"/>
    <w:qFormat/>
    <w:uiPriority w:val="34"/>
    <w:pPr>
      <w:ind w:firstLine="420" w:firstLineChars="200"/>
    </w:pPr>
  </w:style>
  <w:style w:type="paragraph" w:customStyle="1" w:styleId="38">
    <w:name w:val="Other|1"/>
    <w:basedOn w:val="1"/>
    <w:qFormat/>
    <w:uiPriority w:val="0"/>
    <w:pPr>
      <w:spacing w:line="338" w:lineRule="auto"/>
      <w:ind w:firstLine="400"/>
    </w:pPr>
    <w:rPr>
      <w:rFonts w:ascii="MingLiU" w:hAnsi="MingLiU" w:eastAsia="MingLiU" w:cs="MingLiU"/>
      <w:sz w:val="19"/>
      <w:szCs w:val="19"/>
      <w:lang w:val="zh-TW" w:eastAsia="zh-TW" w:bidi="zh-TW"/>
    </w:rPr>
  </w:style>
  <w:style w:type="paragraph" w:customStyle="1" w:styleId="39">
    <w:name w:val="Default"/>
    <w:next w:val="40"/>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40">
    <w:name w:val="大标题"/>
    <w:basedOn w:val="1"/>
    <w:next w:val="21"/>
    <w:qFormat/>
    <w:uiPriority w:val="0"/>
    <w:pPr>
      <w:jc w:val="center"/>
    </w:pPr>
    <w:rPr>
      <w:rFonts w:ascii="Arial" w:hAnsi="Arial" w:eastAsia="宋体"/>
      <w:b/>
      <w:sz w:val="28"/>
      <w:szCs w:val="24"/>
    </w:rPr>
  </w:style>
  <w:style w:type="character" w:customStyle="1" w:styleId="41">
    <w:name w:val="17"/>
    <w:basedOn w:val="24"/>
    <w:qFormat/>
    <w:uiPriority w:val="0"/>
    <w:rPr>
      <w:rFonts w:hint="eastAsia" w:ascii="宋体" w:hAnsi="宋体" w:eastAsia="宋体" w:cs="宋体"/>
      <w:color w:val="000000"/>
      <w:sz w:val="20"/>
      <w:szCs w:val="20"/>
      <w:vertAlign w:val="superscript"/>
    </w:rPr>
  </w:style>
  <w:style w:type="character" w:customStyle="1" w:styleId="42">
    <w:name w:val="16"/>
    <w:basedOn w:val="24"/>
    <w:qFormat/>
    <w:uiPriority w:val="0"/>
    <w:rPr>
      <w:rFonts w:hint="eastAsia" w:ascii="宋体" w:hAnsi="宋体" w:eastAsia="宋体" w:cs="宋体"/>
      <w:color w:val="000000"/>
      <w:sz w:val="20"/>
      <w:szCs w:val="20"/>
      <w:vertAlign w:val="subscript"/>
    </w:rPr>
  </w:style>
  <w:style w:type="character" w:customStyle="1" w:styleId="43">
    <w:name w:val="18"/>
    <w:basedOn w:val="24"/>
    <w:qFormat/>
    <w:uiPriority w:val="0"/>
    <w:rPr>
      <w:rFonts w:hint="eastAsia" w:ascii="宋体" w:hAnsi="宋体" w:eastAsia="宋体" w:cs="宋体"/>
      <w:color w:val="000000"/>
      <w:sz w:val="20"/>
      <w:szCs w:val="20"/>
    </w:rPr>
  </w:style>
  <w:style w:type="character" w:customStyle="1" w:styleId="44">
    <w:name w:val="19"/>
    <w:basedOn w:val="24"/>
    <w:qFormat/>
    <w:uiPriority w:val="0"/>
    <w:rPr>
      <w:rFonts w:hint="eastAsia" w:ascii="宋体" w:hAnsi="宋体" w:eastAsia="宋体" w:cs="宋体"/>
      <w:color w:val="000000"/>
      <w:sz w:val="20"/>
      <w:szCs w:val="20"/>
      <w:vertAlign w:val="superscript"/>
    </w:rPr>
  </w:style>
  <w:style w:type="character" w:customStyle="1" w:styleId="45">
    <w:name w:val="font21"/>
    <w:basedOn w:val="24"/>
    <w:qFormat/>
    <w:uiPriority w:val="0"/>
    <w:rPr>
      <w:rFonts w:hint="eastAsia" w:ascii="宋体" w:hAnsi="宋体" w:eastAsia="宋体" w:cs="宋体"/>
      <w:color w:val="000000"/>
      <w:sz w:val="24"/>
      <w:szCs w:val="24"/>
      <w:u w:val="none"/>
    </w:rPr>
  </w:style>
  <w:style w:type="character" w:customStyle="1" w:styleId="46">
    <w:name w:val="font31"/>
    <w:basedOn w:val="24"/>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21</Pages>
  <Words>8269</Words>
  <Characters>9337</Characters>
  <Lines>29</Lines>
  <Paragraphs>8</Paragraphs>
  <TotalTime>8</TotalTime>
  <ScaleCrop>false</ScaleCrop>
  <LinksUpToDate>false</LinksUpToDate>
  <CharactersWithSpaces>10111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2019-06-10T14:15:00Z</dcterms:created>
  <dc:creator>Administrator</dc:creator>
  <cp:lastModifiedBy>掌心上的巴黎</cp:lastModifiedBy>
  <dcterms:modified xsi:type="dcterms:W3CDTF">2023-03-14T09:35:40Z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0A717C77C6A44328B236A74ED7092A80</vt:lpwstr>
  </property>
</Properties>
</file>